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67DB2" w:rsidRPr="001E6842" w:rsidTr="00767DB2">
        <w:trPr>
          <w:jc w:val="center"/>
        </w:trPr>
        <w:tc>
          <w:tcPr>
            <w:tcW w:w="743" w:type="dxa"/>
            <w:hideMark/>
          </w:tcPr>
          <w:p w:rsidR="00767DB2" w:rsidRPr="001E6842" w:rsidRDefault="00FA1DB5">
            <w:pPr>
              <w:suppressLineNumbers/>
              <w:jc w:val="both"/>
              <w:rPr>
                <w:rFonts w:ascii="David" w:hAnsi="David"/>
                <w:b/>
                <w:bCs/>
              </w:rPr>
            </w:pPr>
            <w:bookmarkStart w:id="0" w:name="_GoBack"/>
            <w:bookmarkEnd w:id="0"/>
            <w:r w:rsidRPr="001E6842">
              <w:rPr>
                <w:rFonts w:ascii="David" w:hAnsi="David"/>
                <w:b/>
                <w:bCs/>
                <w:sz w:val="26"/>
                <w:szCs w:val="26"/>
                <w:rtl/>
              </w:rPr>
              <w:t xml:space="preserve">לפני </w:t>
            </w:r>
          </w:p>
        </w:tc>
        <w:tc>
          <w:tcPr>
            <w:tcW w:w="8077" w:type="dxa"/>
            <w:gridSpan w:val="2"/>
          </w:tcPr>
          <w:p w:rsidR="00767DB2" w:rsidRPr="001E6842" w:rsidRDefault="00FA1DB5">
            <w:pPr>
              <w:rPr>
                <w:rFonts w:ascii="David" w:hAnsi="David"/>
                <w:sz w:val="28"/>
                <w:szCs w:val="28"/>
                <w:highlight w:val="yellow"/>
                <w:rtl/>
              </w:rPr>
            </w:pPr>
            <w:r w:rsidRPr="001E6842">
              <w:rPr>
                <w:rFonts w:ascii="David" w:eastAsia="Calibri" w:hAnsi="David"/>
                <w:b/>
                <w:bCs/>
                <w:sz w:val="26"/>
                <w:szCs w:val="26"/>
                <w:rtl/>
              </w:rPr>
              <w:t>כבוד השופט טל פפרני,  סגן הנשיאה</w:t>
            </w:r>
          </w:p>
          <w:p w:rsidR="00767DB2" w:rsidRPr="001E6842" w:rsidRDefault="009E67B2">
            <w:pPr>
              <w:rPr>
                <w:rFonts w:ascii="David" w:hAnsi="David"/>
                <w:sz w:val="28"/>
                <w:szCs w:val="28"/>
                <w:highlight w:val="yellow"/>
                <w:rtl/>
              </w:rPr>
            </w:pPr>
          </w:p>
        </w:tc>
      </w:tr>
      <w:tr w:rsidR="00767DB2" w:rsidRPr="001E6842" w:rsidTr="00767DB2">
        <w:trPr>
          <w:jc w:val="center"/>
        </w:trPr>
        <w:tc>
          <w:tcPr>
            <w:tcW w:w="3249" w:type="dxa"/>
            <w:gridSpan w:val="2"/>
          </w:tcPr>
          <w:p w:rsidR="00767DB2" w:rsidRPr="001E6842" w:rsidRDefault="009E67B2">
            <w:pPr>
              <w:suppressLineNumbers/>
              <w:rPr>
                <w:rFonts w:ascii="David" w:hAnsi="David"/>
                <w:b/>
                <w:bCs/>
                <w:sz w:val="26"/>
                <w:szCs w:val="26"/>
              </w:rPr>
            </w:pPr>
          </w:p>
          <w:p w:rsidR="00767DB2" w:rsidRPr="001E6842" w:rsidRDefault="00FA1DB5">
            <w:pPr>
              <w:suppressLineNumbers/>
              <w:rPr>
                <w:rFonts w:ascii="David" w:hAnsi="David"/>
                <w:b/>
                <w:bCs/>
                <w:sz w:val="26"/>
                <w:szCs w:val="26"/>
                <w:u w:val="single"/>
                <w:rtl/>
              </w:rPr>
            </w:pPr>
            <w:r w:rsidRPr="001E6842">
              <w:rPr>
                <w:rFonts w:ascii="David" w:hAnsi="David"/>
                <w:b/>
                <w:bCs/>
                <w:sz w:val="26"/>
                <w:szCs w:val="26"/>
                <w:u w:val="single"/>
                <w:rtl/>
              </w:rPr>
              <w:t>בעניין עיזבון המנוחה:</w:t>
            </w:r>
          </w:p>
          <w:p w:rsidR="00767DB2" w:rsidRPr="001E6842" w:rsidRDefault="009E67B2">
            <w:pPr>
              <w:suppressLineNumbers/>
              <w:rPr>
                <w:rFonts w:ascii="David" w:hAnsi="David"/>
                <w:b/>
                <w:bCs/>
                <w:sz w:val="26"/>
                <w:szCs w:val="26"/>
                <w:rtl/>
              </w:rPr>
            </w:pPr>
          </w:p>
          <w:p w:rsidR="00767DB2" w:rsidRPr="001E6842" w:rsidRDefault="009E67B2">
            <w:pPr>
              <w:suppressLineNumbers/>
              <w:rPr>
                <w:rFonts w:ascii="David" w:hAnsi="David"/>
                <w:b/>
                <w:bCs/>
                <w:sz w:val="26"/>
                <w:szCs w:val="26"/>
                <w:rtl/>
              </w:rPr>
            </w:pPr>
          </w:p>
          <w:p w:rsidR="00767DB2" w:rsidRPr="001E6842" w:rsidRDefault="009E67B2">
            <w:pPr>
              <w:suppressLineNumbers/>
              <w:rPr>
                <w:rFonts w:ascii="David" w:hAnsi="David"/>
                <w:b/>
                <w:bCs/>
                <w:sz w:val="26"/>
                <w:szCs w:val="26"/>
                <w:u w:val="single"/>
              </w:rPr>
            </w:pPr>
          </w:p>
          <w:p w:rsidR="00767DB2" w:rsidRPr="001E6842" w:rsidRDefault="00FA1DB5">
            <w:pPr>
              <w:suppressLineNumbers/>
              <w:rPr>
                <w:rFonts w:ascii="David" w:hAnsi="David"/>
                <w:b/>
                <w:bCs/>
                <w:sz w:val="26"/>
                <w:szCs w:val="26"/>
                <w:u w:val="single"/>
                <w:rtl/>
              </w:rPr>
            </w:pPr>
            <w:r>
              <w:rPr>
                <w:rFonts w:ascii="David" w:hAnsi="David" w:hint="cs"/>
                <w:b/>
                <w:bCs/>
                <w:sz w:val="26"/>
                <w:szCs w:val="26"/>
                <w:u w:val="single"/>
                <w:rtl/>
              </w:rPr>
              <w:t>ה</w:t>
            </w:r>
            <w:r w:rsidRPr="001E6842">
              <w:rPr>
                <w:rFonts w:ascii="David" w:hAnsi="David"/>
                <w:b/>
                <w:bCs/>
                <w:sz w:val="26"/>
                <w:szCs w:val="26"/>
                <w:u w:val="single"/>
                <w:rtl/>
              </w:rPr>
              <w:t>מבקש</w:t>
            </w:r>
          </w:p>
        </w:tc>
        <w:tc>
          <w:tcPr>
            <w:tcW w:w="5571" w:type="dxa"/>
          </w:tcPr>
          <w:p w:rsidR="00767DB2" w:rsidRPr="001E6842" w:rsidRDefault="009E67B2">
            <w:pPr>
              <w:suppressLineNumbers/>
              <w:rPr>
                <w:rFonts w:ascii="David" w:hAnsi="David"/>
                <w:b/>
                <w:bCs/>
                <w:sz w:val="26"/>
                <w:szCs w:val="26"/>
                <w:rtl/>
              </w:rPr>
            </w:pPr>
          </w:p>
          <w:p w:rsidR="00767DB2" w:rsidRPr="001E6842" w:rsidRDefault="00422579" w:rsidP="004B7244">
            <w:pPr>
              <w:suppressLineNumbers/>
              <w:rPr>
                <w:rFonts w:ascii="David" w:hAnsi="David"/>
                <w:b/>
                <w:bCs/>
                <w:sz w:val="26"/>
                <w:szCs w:val="26"/>
              </w:rPr>
            </w:pPr>
            <w:r>
              <w:rPr>
                <w:rFonts w:ascii="David" w:hAnsi="David" w:hint="cs"/>
                <w:b/>
                <w:bCs/>
                <w:sz w:val="26"/>
                <w:szCs w:val="26"/>
                <w:rtl/>
              </w:rPr>
              <w:t>אלמונית</w:t>
            </w:r>
            <w:r w:rsidR="00FA1DB5" w:rsidRPr="001E6842">
              <w:rPr>
                <w:rFonts w:ascii="David" w:hAnsi="David"/>
                <w:b/>
                <w:bCs/>
                <w:sz w:val="26"/>
                <w:szCs w:val="26"/>
                <w:rtl/>
              </w:rPr>
              <w:t xml:space="preserve"> ז"ל     </w:t>
            </w:r>
            <w:r w:rsidR="00FA1DB5">
              <w:rPr>
                <w:rFonts w:ascii="David" w:hAnsi="David" w:hint="cs"/>
                <w:b/>
                <w:bCs/>
                <w:sz w:val="26"/>
                <w:szCs w:val="26"/>
                <w:rtl/>
              </w:rPr>
              <w:t xml:space="preserve">     </w:t>
            </w:r>
            <w:r w:rsidR="00FA1DB5" w:rsidRPr="001E6842">
              <w:rPr>
                <w:rFonts w:ascii="David" w:hAnsi="David"/>
                <w:b/>
                <w:bCs/>
                <w:sz w:val="26"/>
                <w:szCs w:val="26"/>
                <w:rtl/>
              </w:rPr>
              <w:t xml:space="preserve"> ת"ז </w:t>
            </w:r>
            <w:r w:rsidR="004B7244">
              <w:rPr>
                <w:rFonts w:ascii="David" w:hAnsi="David"/>
                <w:b/>
                <w:bCs/>
                <w:sz w:val="26"/>
                <w:szCs w:val="26"/>
              </w:rPr>
              <w:t>xxxxxxxxx</w:t>
            </w:r>
          </w:p>
          <w:p w:rsidR="00767DB2" w:rsidRPr="001E6842" w:rsidRDefault="009E67B2">
            <w:pPr>
              <w:suppressLineNumbers/>
              <w:rPr>
                <w:rFonts w:ascii="David" w:hAnsi="David"/>
                <w:b/>
                <w:bCs/>
                <w:sz w:val="26"/>
                <w:szCs w:val="26"/>
                <w:rtl/>
              </w:rPr>
            </w:pPr>
          </w:p>
          <w:p w:rsidR="00767DB2" w:rsidRPr="001E6842" w:rsidRDefault="009E67B2">
            <w:pPr>
              <w:suppressLineNumbers/>
              <w:rPr>
                <w:rFonts w:ascii="David" w:hAnsi="David"/>
                <w:b/>
                <w:bCs/>
                <w:sz w:val="26"/>
                <w:szCs w:val="26"/>
                <w:rtl/>
              </w:rPr>
            </w:pPr>
          </w:p>
          <w:p w:rsidR="00767DB2" w:rsidRPr="001E6842" w:rsidRDefault="009E67B2">
            <w:pPr>
              <w:suppressLineNumbers/>
              <w:rPr>
                <w:rFonts w:ascii="David" w:hAnsi="David"/>
                <w:b/>
                <w:bCs/>
                <w:sz w:val="26"/>
                <w:szCs w:val="26"/>
                <w:rtl/>
              </w:rPr>
            </w:pPr>
          </w:p>
          <w:p w:rsidR="00767DB2" w:rsidRPr="001E6842" w:rsidRDefault="00422579">
            <w:pPr>
              <w:suppressLineNumbers/>
              <w:rPr>
                <w:rFonts w:ascii="David" w:hAnsi="David"/>
                <w:b/>
                <w:bCs/>
                <w:sz w:val="26"/>
                <w:szCs w:val="26"/>
                <w:rtl/>
              </w:rPr>
            </w:pPr>
            <w:r>
              <w:rPr>
                <w:rFonts w:ascii="David" w:hAnsi="David" w:hint="cs"/>
                <w:b/>
                <w:bCs/>
                <w:sz w:val="26"/>
                <w:szCs w:val="26"/>
                <w:rtl/>
              </w:rPr>
              <w:t>פלוני</w:t>
            </w:r>
            <w:r w:rsidR="00FA1DB5" w:rsidRPr="001E6842">
              <w:rPr>
                <w:rFonts w:ascii="David" w:hAnsi="David"/>
                <w:b/>
                <w:bCs/>
                <w:sz w:val="26"/>
                <w:szCs w:val="26"/>
                <w:rtl/>
              </w:rPr>
              <w:t xml:space="preserve">      </w:t>
            </w:r>
            <w:r>
              <w:rPr>
                <w:rFonts w:ascii="David" w:hAnsi="David" w:hint="cs"/>
                <w:b/>
                <w:bCs/>
                <w:sz w:val="26"/>
                <w:szCs w:val="26"/>
                <w:rtl/>
              </w:rPr>
              <w:t xml:space="preserve">   </w:t>
            </w:r>
            <w:r w:rsidR="00FA1DB5" w:rsidRPr="001E6842">
              <w:rPr>
                <w:rFonts w:ascii="David" w:hAnsi="David"/>
                <w:b/>
                <w:bCs/>
                <w:sz w:val="26"/>
                <w:szCs w:val="26"/>
                <w:rtl/>
              </w:rPr>
              <w:t xml:space="preserve">     </w:t>
            </w:r>
            <w:r w:rsidR="00FA1DB5">
              <w:rPr>
                <w:rFonts w:ascii="David" w:hAnsi="David" w:hint="cs"/>
                <w:b/>
                <w:bCs/>
                <w:sz w:val="26"/>
                <w:szCs w:val="26"/>
                <w:rtl/>
              </w:rPr>
              <w:t xml:space="preserve">      </w:t>
            </w:r>
            <w:r w:rsidR="00FA1DB5" w:rsidRPr="001E6842">
              <w:rPr>
                <w:rFonts w:ascii="David" w:hAnsi="David"/>
                <w:b/>
                <w:bCs/>
                <w:sz w:val="26"/>
                <w:szCs w:val="26"/>
                <w:rtl/>
              </w:rPr>
              <w:t xml:space="preserve">  ת"ז  </w:t>
            </w:r>
            <w:r w:rsidR="004B7244">
              <w:rPr>
                <w:rFonts w:ascii="David" w:hAnsi="David"/>
                <w:b/>
                <w:bCs/>
                <w:sz w:val="26"/>
                <w:szCs w:val="26"/>
              </w:rPr>
              <w:t>xxxxxxxxx</w:t>
            </w:r>
          </w:p>
        </w:tc>
      </w:tr>
      <w:tr w:rsidR="00767DB2" w:rsidRPr="001E6842" w:rsidTr="00767DB2">
        <w:trPr>
          <w:jc w:val="center"/>
        </w:trPr>
        <w:tc>
          <w:tcPr>
            <w:tcW w:w="8820" w:type="dxa"/>
            <w:gridSpan w:val="3"/>
          </w:tcPr>
          <w:p w:rsidR="00767DB2" w:rsidRPr="001E6842" w:rsidRDefault="009E67B2">
            <w:pPr>
              <w:suppressLineNumbers/>
              <w:rPr>
                <w:rFonts w:ascii="David" w:hAnsi="David"/>
                <w:b/>
                <w:bCs/>
                <w:sz w:val="26"/>
                <w:szCs w:val="26"/>
              </w:rPr>
            </w:pPr>
          </w:p>
          <w:p w:rsidR="00767DB2" w:rsidRPr="001E6842" w:rsidRDefault="00FA1DB5">
            <w:pPr>
              <w:suppressLineNumbers/>
              <w:jc w:val="center"/>
              <w:rPr>
                <w:rFonts w:ascii="David" w:hAnsi="David"/>
                <w:b/>
                <w:bCs/>
                <w:sz w:val="26"/>
                <w:szCs w:val="26"/>
                <w:rtl/>
              </w:rPr>
            </w:pPr>
            <w:r w:rsidRPr="001E6842">
              <w:rPr>
                <w:rFonts w:ascii="David" w:hAnsi="David"/>
                <w:b/>
                <w:bCs/>
                <w:sz w:val="26"/>
                <w:szCs w:val="26"/>
                <w:rtl/>
              </w:rPr>
              <w:t>נגד</w:t>
            </w:r>
          </w:p>
          <w:p w:rsidR="00767DB2" w:rsidRPr="001E6842" w:rsidRDefault="009E67B2">
            <w:pPr>
              <w:suppressLineNumbers/>
              <w:rPr>
                <w:rFonts w:ascii="David" w:hAnsi="David"/>
                <w:b/>
                <w:bCs/>
                <w:sz w:val="26"/>
                <w:szCs w:val="26"/>
                <w:rtl/>
              </w:rPr>
            </w:pPr>
          </w:p>
        </w:tc>
      </w:tr>
      <w:tr w:rsidR="00767DB2" w:rsidRPr="001E6842" w:rsidTr="00767DB2">
        <w:trPr>
          <w:jc w:val="center"/>
        </w:trPr>
        <w:tc>
          <w:tcPr>
            <w:tcW w:w="3249" w:type="dxa"/>
            <w:gridSpan w:val="2"/>
            <w:hideMark/>
          </w:tcPr>
          <w:p w:rsidR="00767DB2" w:rsidRPr="001E6842" w:rsidRDefault="00FA1DB5">
            <w:pPr>
              <w:suppressLineNumbers/>
              <w:rPr>
                <w:rFonts w:ascii="David" w:hAnsi="David"/>
                <w:b/>
                <w:bCs/>
                <w:sz w:val="26"/>
                <w:szCs w:val="26"/>
                <w:u w:val="single"/>
                <w:rtl/>
              </w:rPr>
            </w:pPr>
            <w:r>
              <w:rPr>
                <w:rFonts w:ascii="David" w:hAnsi="David" w:hint="cs"/>
                <w:b/>
                <w:bCs/>
                <w:sz w:val="26"/>
                <w:szCs w:val="26"/>
                <w:u w:val="single"/>
                <w:rtl/>
              </w:rPr>
              <w:t>ה</w:t>
            </w:r>
            <w:r w:rsidRPr="001E6842">
              <w:rPr>
                <w:rFonts w:ascii="David" w:hAnsi="David"/>
                <w:b/>
                <w:bCs/>
                <w:sz w:val="26"/>
                <w:szCs w:val="26"/>
                <w:u w:val="single"/>
                <w:rtl/>
              </w:rPr>
              <w:t>משיבים</w:t>
            </w:r>
          </w:p>
        </w:tc>
        <w:tc>
          <w:tcPr>
            <w:tcW w:w="5571" w:type="dxa"/>
            <w:hideMark/>
          </w:tcPr>
          <w:p w:rsidR="00767DB2" w:rsidRPr="001E6842" w:rsidRDefault="00FA1DB5" w:rsidP="00422579">
            <w:pPr>
              <w:suppressLineNumbers/>
              <w:rPr>
                <w:rFonts w:ascii="David" w:hAnsi="David"/>
                <w:b/>
                <w:bCs/>
                <w:sz w:val="26"/>
                <w:szCs w:val="26"/>
              </w:rPr>
            </w:pPr>
            <w:r w:rsidRPr="001E6842">
              <w:rPr>
                <w:rFonts w:ascii="David" w:hAnsi="David"/>
                <w:b/>
                <w:bCs/>
                <w:sz w:val="26"/>
                <w:szCs w:val="26"/>
                <w:rtl/>
              </w:rPr>
              <w:t xml:space="preserve">1. </w:t>
            </w:r>
            <w:r w:rsidR="00422579">
              <w:rPr>
                <w:rFonts w:ascii="David" w:hAnsi="David" w:hint="cs"/>
                <w:b/>
                <w:bCs/>
                <w:sz w:val="26"/>
                <w:szCs w:val="26"/>
                <w:rtl/>
              </w:rPr>
              <w:t xml:space="preserve">אלמונית 1      </w:t>
            </w:r>
            <w:r w:rsidRPr="001E6842">
              <w:rPr>
                <w:rFonts w:ascii="David" w:hAnsi="David"/>
                <w:rtl/>
              </w:rPr>
              <w:t xml:space="preserve"> </w:t>
            </w:r>
            <w:r>
              <w:rPr>
                <w:rFonts w:ascii="David" w:hAnsi="David" w:hint="cs"/>
                <w:b/>
                <w:bCs/>
                <w:sz w:val="26"/>
                <w:szCs w:val="26"/>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767DB2" w:rsidRPr="004B7244" w:rsidRDefault="00FA1DB5" w:rsidP="00422579">
            <w:pPr>
              <w:suppressLineNumbers/>
              <w:rPr>
                <w:rFonts w:ascii="David" w:hAnsi="David"/>
                <w:b/>
                <w:bCs/>
                <w:sz w:val="26"/>
                <w:szCs w:val="26"/>
                <w:rtl/>
              </w:rPr>
            </w:pPr>
            <w:r w:rsidRPr="001E6842">
              <w:rPr>
                <w:rFonts w:ascii="David" w:hAnsi="David"/>
                <w:b/>
                <w:bCs/>
                <w:sz w:val="26"/>
                <w:szCs w:val="26"/>
                <w:rtl/>
              </w:rPr>
              <w:t xml:space="preserve">2. </w:t>
            </w:r>
            <w:r w:rsidR="00422579">
              <w:rPr>
                <w:rFonts w:ascii="David" w:hAnsi="David" w:hint="cs"/>
                <w:b/>
                <w:bCs/>
                <w:sz w:val="26"/>
                <w:szCs w:val="26"/>
                <w:rtl/>
              </w:rPr>
              <w:t xml:space="preserve">אלמוני      </w:t>
            </w:r>
            <w:r w:rsidRPr="001E6842">
              <w:rPr>
                <w:rFonts w:ascii="David" w:hAnsi="David"/>
                <w:rtl/>
              </w:rPr>
              <w:t xml:space="preserve"> </w:t>
            </w:r>
            <w:r>
              <w:rPr>
                <w:rFonts w:ascii="David" w:hAnsi="David" w:hint="cs"/>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767DB2" w:rsidRDefault="00FA1DB5" w:rsidP="00422579">
            <w:pPr>
              <w:suppressLineNumbers/>
              <w:rPr>
                <w:rFonts w:ascii="David" w:hAnsi="David"/>
                <w:b/>
                <w:bCs/>
                <w:sz w:val="26"/>
                <w:szCs w:val="26"/>
                <w:rtl/>
              </w:rPr>
            </w:pPr>
            <w:r w:rsidRPr="001E6842">
              <w:rPr>
                <w:rFonts w:ascii="David" w:hAnsi="David"/>
                <w:b/>
                <w:bCs/>
                <w:sz w:val="26"/>
                <w:szCs w:val="26"/>
                <w:rtl/>
              </w:rPr>
              <w:t xml:space="preserve">3. </w:t>
            </w:r>
            <w:r w:rsidR="00422579">
              <w:rPr>
                <w:rFonts w:ascii="David" w:hAnsi="David" w:hint="cs"/>
                <w:b/>
                <w:bCs/>
                <w:sz w:val="26"/>
                <w:szCs w:val="26"/>
                <w:rtl/>
              </w:rPr>
              <w:t xml:space="preserve">אלמוני 1  </w:t>
            </w:r>
            <w:r w:rsidRPr="001E6842">
              <w:rPr>
                <w:rFonts w:ascii="David" w:hAnsi="David"/>
                <w:rtl/>
              </w:rPr>
              <w:t xml:space="preserve"> </w:t>
            </w:r>
            <w:r>
              <w:rPr>
                <w:rFonts w:ascii="David" w:hAnsi="David" w:hint="cs"/>
                <w:b/>
                <w:bCs/>
                <w:sz w:val="26"/>
                <w:szCs w:val="26"/>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D200E5" w:rsidRPr="001E6842" w:rsidRDefault="00D200E5" w:rsidP="00422579">
            <w:pPr>
              <w:suppressLineNumbers/>
              <w:rPr>
                <w:rFonts w:ascii="David" w:hAnsi="David"/>
                <w:b/>
                <w:bCs/>
                <w:sz w:val="26"/>
                <w:szCs w:val="26"/>
                <w:rtl/>
              </w:rPr>
            </w:pPr>
            <w:r>
              <w:rPr>
                <w:rFonts w:ascii="David" w:hAnsi="David" w:hint="cs"/>
                <w:b/>
                <w:bCs/>
                <w:sz w:val="26"/>
                <w:szCs w:val="26"/>
                <w:rtl/>
              </w:rPr>
              <w:t xml:space="preserve">יורשי </w:t>
            </w:r>
            <w:r w:rsidR="00422579">
              <w:rPr>
                <w:rFonts w:ascii="David" w:hAnsi="David" w:hint="cs"/>
                <w:b/>
                <w:bCs/>
                <w:sz w:val="26"/>
                <w:szCs w:val="26"/>
                <w:rtl/>
              </w:rPr>
              <w:t>פלונית</w:t>
            </w:r>
            <w:r>
              <w:rPr>
                <w:rFonts w:ascii="David" w:hAnsi="David" w:hint="cs"/>
                <w:b/>
                <w:bCs/>
                <w:sz w:val="26"/>
                <w:szCs w:val="26"/>
                <w:rtl/>
              </w:rPr>
              <w:t xml:space="preserve"> ז"ל:</w:t>
            </w:r>
          </w:p>
          <w:p w:rsidR="00767DB2" w:rsidRPr="001E6842" w:rsidRDefault="00FA1DB5" w:rsidP="00422579">
            <w:pPr>
              <w:suppressLineNumbers/>
              <w:rPr>
                <w:rFonts w:ascii="David" w:hAnsi="David"/>
                <w:b/>
                <w:bCs/>
                <w:sz w:val="26"/>
                <w:szCs w:val="26"/>
                <w:rtl/>
              </w:rPr>
            </w:pPr>
            <w:r w:rsidRPr="001E6842">
              <w:rPr>
                <w:rFonts w:ascii="David" w:hAnsi="David"/>
                <w:b/>
                <w:bCs/>
                <w:sz w:val="26"/>
                <w:szCs w:val="26"/>
                <w:rtl/>
              </w:rPr>
              <w:t xml:space="preserve">4. </w:t>
            </w:r>
            <w:r w:rsidR="00422579">
              <w:rPr>
                <w:rFonts w:ascii="David" w:hAnsi="David" w:hint="cs"/>
                <w:b/>
                <w:bCs/>
                <w:sz w:val="26"/>
                <w:szCs w:val="26"/>
                <w:rtl/>
              </w:rPr>
              <w:t xml:space="preserve">פלוני 1                  </w:t>
            </w:r>
            <w:r w:rsidRPr="001E6842">
              <w:rPr>
                <w:rFonts w:ascii="David" w:hAnsi="David"/>
                <w:rtl/>
              </w:rPr>
              <w:t xml:space="preserve"> </w:t>
            </w:r>
            <w:r>
              <w:rPr>
                <w:rFonts w:ascii="David" w:hAnsi="David" w:hint="cs"/>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767DB2" w:rsidRPr="001E6842" w:rsidRDefault="00FA1DB5" w:rsidP="00422579">
            <w:pPr>
              <w:suppressLineNumbers/>
              <w:rPr>
                <w:rFonts w:ascii="David" w:hAnsi="David"/>
                <w:b/>
                <w:bCs/>
                <w:sz w:val="26"/>
                <w:szCs w:val="26"/>
                <w:rtl/>
              </w:rPr>
            </w:pPr>
            <w:r w:rsidRPr="001E6842">
              <w:rPr>
                <w:rFonts w:ascii="David" w:hAnsi="David"/>
                <w:b/>
                <w:bCs/>
                <w:sz w:val="26"/>
                <w:szCs w:val="26"/>
                <w:rtl/>
              </w:rPr>
              <w:t xml:space="preserve">5. </w:t>
            </w:r>
            <w:r w:rsidR="00422579">
              <w:rPr>
                <w:rFonts w:ascii="David" w:hAnsi="David" w:hint="cs"/>
                <w:b/>
                <w:bCs/>
                <w:sz w:val="26"/>
                <w:szCs w:val="26"/>
                <w:rtl/>
              </w:rPr>
              <w:t xml:space="preserve">פלונית 1        </w:t>
            </w:r>
            <w:r w:rsidRPr="001E6842">
              <w:rPr>
                <w:rFonts w:ascii="David" w:hAnsi="David"/>
                <w:rtl/>
              </w:rPr>
              <w:t xml:space="preserve"> </w:t>
            </w:r>
            <w:r>
              <w:rPr>
                <w:rFonts w:ascii="David" w:hAnsi="David" w:hint="cs"/>
                <w:b/>
                <w:bCs/>
                <w:sz w:val="26"/>
                <w:szCs w:val="26"/>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767DB2" w:rsidRPr="001E6842" w:rsidRDefault="00FA1DB5" w:rsidP="00422579">
            <w:pPr>
              <w:suppressLineNumbers/>
              <w:rPr>
                <w:rFonts w:ascii="David" w:hAnsi="David"/>
                <w:b/>
                <w:bCs/>
                <w:sz w:val="26"/>
                <w:szCs w:val="26"/>
                <w:rtl/>
              </w:rPr>
            </w:pPr>
            <w:r w:rsidRPr="001E6842">
              <w:rPr>
                <w:rFonts w:ascii="David" w:hAnsi="David"/>
                <w:b/>
                <w:bCs/>
                <w:sz w:val="26"/>
                <w:szCs w:val="26"/>
                <w:rtl/>
              </w:rPr>
              <w:t xml:space="preserve">6. </w:t>
            </w:r>
            <w:r w:rsidR="00422579">
              <w:rPr>
                <w:rFonts w:ascii="David" w:hAnsi="David" w:hint="cs"/>
                <w:b/>
                <w:bCs/>
                <w:sz w:val="26"/>
                <w:szCs w:val="26"/>
                <w:rtl/>
              </w:rPr>
              <w:t xml:space="preserve">פלונית 2     </w:t>
            </w:r>
            <w:r w:rsidRPr="001E6842">
              <w:rPr>
                <w:rFonts w:ascii="David" w:hAnsi="David"/>
                <w:rtl/>
              </w:rPr>
              <w:t xml:space="preserve"> </w:t>
            </w:r>
            <w:r>
              <w:rPr>
                <w:rFonts w:ascii="David" w:hAnsi="David" w:hint="cs"/>
                <w:b/>
                <w:bCs/>
                <w:sz w:val="26"/>
                <w:szCs w:val="26"/>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767DB2" w:rsidRPr="004B7244" w:rsidRDefault="00FA1DB5" w:rsidP="00422579">
            <w:pPr>
              <w:suppressLineNumbers/>
              <w:rPr>
                <w:rFonts w:ascii="David" w:hAnsi="David"/>
                <w:b/>
                <w:bCs/>
                <w:sz w:val="26"/>
                <w:szCs w:val="26"/>
                <w:rtl/>
              </w:rPr>
            </w:pPr>
            <w:r w:rsidRPr="001E6842">
              <w:rPr>
                <w:rFonts w:ascii="David" w:hAnsi="David"/>
                <w:b/>
                <w:bCs/>
                <w:sz w:val="26"/>
                <w:szCs w:val="26"/>
                <w:rtl/>
              </w:rPr>
              <w:t xml:space="preserve">7. </w:t>
            </w:r>
            <w:r w:rsidR="00422579">
              <w:rPr>
                <w:rFonts w:ascii="David" w:hAnsi="David" w:hint="cs"/>
                <w:b/>
                <w:bCs/>
                <w:sz w:val="26"/>
                <w:szCs w:val="26"/>
                <w:rtl/>
              </w:rPr>
              <w:t xml:space="preserve">פלוני 2      </w:t>
            </w:r>
            <w:r w:rsidRPr="001E6842">
              <w:rPr>
                <w:rFonts w:ascii="David" w:hAnsi="David"/>
                <w:rtl/>
              </w:rPr>
              <w:t xml:space="preserve"> </w:t>
            </w:r>
            <w:r w:rsidR="00422579">
              <w:rPr>
                <w:rFonts w:ascii="David" w:hAnsi="David" w:hint="cs"/>
                <w:rtl/>
              </w:rPr>
              <w:t xml:space="preserve"> </w:t>
            </w:r>
            <w:r>
              <w:rPr>
                <w:rFonts w:ascii="David" w:hAnsi="David" w:hint="cs"/>
                <w:b/>
                <w:bCs/>
                <w:sz w:val="26"/>
                <w:szCs w:val="26"/>
                <w:rtl/>
              </w:rPr>
              <w:t xml:space="preserve">            </w:t>
            </w:r>
            <w:r w:rsidRPr="001E6842">
              <w:rPr>
                <w:rFonts w:ascii="David" w:hAnsi="David"/>
                <w:b/>
                <w:bCs/>
                <w:sz w:val="26"/>
                <w:szCs w:val="26"/>
                <w:rtl/>
              </w:rPr>
              <w:t xml:space="preserve">ת"ז </w:t>
            </w:r>
            <w:r w:rsidR="004B7244">
              <w:rPr>
                <w:rFonts w:ascii="David" w:hAnsi="David"/>
                <w:b/>
                <w:bCs/>
                <w:sz w:val="26"/>
                <w:szCs w:val="26"/>
              </w:rPr>
              <w:t>xxxxxxxxx</w:t>
            </w:r>
          </w:p>
          <w:p w:rsidR="00767DB2" w:rsidRPr="001E6842" w:rsidRDefault="009E67B2" w:rsidP="00D200E5">
            <w:pPr>
              <w:suppressLineNumbers/>
              <w:rPr>
                <w:rFonts w:ascii="David" w:hAnsi="David"/>
                <w:b/>
                <w:bCs/>
                <w:sz w:val="26"/>
                <w:szCs w:val="26"/>
                <w:rtl/>
              </w:rPr>
            </w:pPr>
          </w:p>
        </w:tc>
      </w:tr>
    </w:tbl>
    <w:p w:rsidR="001434F7" w:rsidRDefault="009E67B2"/>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A1DB5" w:rsidRPr="00FA1DB5" w:rsidRDefault="00FA1DB5" w:rsidP="00FA1DB5">
      <w:pPr>
        <w:spacing w:line="360" w:lineRule="auto"/>
        <w:jc w:val="both"/>
        <w:rPr>
          <w:rFonts w:ascii="David" w:hAnsi="David"/>
          <w:b/>
          <w:bCs/>
          <w:noProof w:val="0"/>
          <w:rtl/>
        </w:rPr>
      </w:pPr>
    </w:p>
    <w:p w:rsidR="00D200E5" w:rsidRDefault="00FA1DB5" w:rsidP="00B011B6">
      <w:pPr>
        <w:spacing w:line="360" w:lineRule="auto"/>
        <w:jc w:val="both"/>
        <w:rPr>
          <w:rFonts w:ascii="David" w:hAnsi="David"/>
          <w:b/>
          <w:bCs/>
          <w:noProof w:val="0"/>
          <w:rtl/>
        </w:rPr>
      </w:pPr>
      <w:r w:rsidRPr="00FA1DB5">
        <w:rPr>
          <w:rFonts w:ascii="David" w:hAnsi="David"/>
          <w:b/>
          <w:bCs/>
          <w:noProof w:val="0"/>
          <w:rtl/>
        </w:rPr>
        <w:t>בקשה לסילוק על הסף</w:t>
      </w:r>
      <w:r w:rsidR="00B011B6">
        <w:rPr>
          <w:rFonts w:ascii="David" w:hAnsi="David" w:hint="cs"/>
          <w:b/>
          <w:bCs/>
          <w:noProof w:val="0"/>
          <w:rtl/>
        </w:rPr>
        <w:t xml:space="preserve"> - </w:t>
      </w:r>
      <w:r w:rsidRPr="00FA1DB5">
        <w:rPr>
          <w:rFonts w:ascii="David" w:hAnsi="David"/>
          <w:b/>
          <w:bCs/>
          <w:noProof w:val="0"/>
          <w:rtl/>
        </w:rPr>
        <w:t xml:space="preserve">ביטול צו ירושה </w:t>
      </w:r>
      <w:r w:rsidR="004B1BCE">
        <w:rPr>
          <w:rFonts w:ascii="David" w:hAnsi="David" w:hint="cs"/>
          <w:b/>
          <w:bCs/>
          <w:noProof w:val="0"/>
          <w:rtl/>
        </w:rPr>
        <w:t xml:space="preserve">שניתן ביום 22/1/2023 בעניינה של המנוחה </w:t>
      </w:r>
      <w:r w:rsidR="00474E6D">
        <w:rPr>
          <w:rFonts w:ascii="David" w:hAnsi="David" w:hint="cs"/>
          <w:b/>
          <w:bCs/>
          <w:noProof w:val="0"/>
          <w:rtl/>
        </w:rPr>
        <w:t>אלמונית</w:t>
      </w:r>
      <w:r w:rsidR="004B1BCE">
        <w:rPr>
          <w:rFonts w:ascii="David" w:hAnsi="David" w:hint="cs"/>
          <w:b/>
          <w:bCs/>
          <w:noProof w:val="0"/>
          <w:rtl/>
        </w:rPr>
        <w:t xml:space="preserve"> ז"ל</w:t>
      </w:r>
      <w:r w:rsidR="00D200E5">
        <w:rPr>
          <w:rFonts w:ascii="David" w:hAnsi="David" w:hint="cs"/>
          <w:b/>
          <w:bCs/>
          <w:noProof w:val="0"/>
          <w:rtl/>
        </w:rPr>
        <w:t>.</w:t>
      </w:r>
    </w:p>
    <w:p w:rsidR="004B1BCE" w:rsidRPr="00FA1DB5" w:rsidRDefault="004B1BCE" w:rsidP="004B1BCE">
      <w:pPr>
        <w:spacing w:line="360" w:lineRule="auto"/>
        <w:jc w:val="both"/>
        <w:rPr>
          <w:rFonts w:ascii="David" w:hAnsi="David"/>
          <w:b/>
          <w:bCs/>
          <w:noProof w:val="0"/>
          <w:u w:val="single"/>
          <w:rtl/>
        </w:rPr>
      </w:pPr>
    </w:p>
    <w:p w:rsidR="00FA1DB5" w:rsidRPr="00FA1DB5" w:rsidRDefault="00FA1DB5" w:rsidP="004B1BCE">
      <w:pPr>
        <w:spacing w:line="360" w:lineRule="auto"/>
        <w:rPr>
          <w:rFonts w:ascii="David" w:hAnsi="David"/>
          <w:b/>
          <w:bCs/>
          <w:noProof w:val="0"/>
          <w:u w:val="single"/>
          <w:rtl/>
        </w:rPr>
      </w:pPr>
      <w:r w:rsidRPr="00FA1DB5">
        <w:rPr>
          <w:rFonts w:ascii="David" w:hAnsi="David"/>
          <w:b/>
          <w:bCs/>
          <w:noProof w:val="0"/>
          <w:u w:val="single"/>
          <w:rtl/>
        </w:rPr>
        <w:t>רקע ותמ</w:t>
      </w:r>
      <w:r w:rsidR="004B1BCE">
        <w:rPr>
          <w:rFonts w:ascii="David" w:hAnsi="David" w:hint="cs"/>
          <w:b/>
          <w:bCs/>
          <w:noProof w:val="0"/>
          <w:u w:val="single"/>
          <w:rtl/>
        </w:rPr>
        <w:t>צ</w:t>
      </w:r>
      <w:r w:rsidRPr="00FA1DB5">
        <w:rPr>
          <w:rFonts w:ascii="David" w:hAnsi="David"/>
          <w:b/>
          <w:bCs/>
          <w:noProof w:val="0"/>
          <w:u w:val="single"/>
          <w:rtl/>
        </w:rPr>
        <w:t>ית ההליכים הקדומים:</w:t>
      </w:r>
    </w:p>
    <w:p w:rsidR="00FA1DB5" w:rsidRPr="00FA1DB5" w:rsidRDefault="00FA1DB5" w:rsidP="00FA1DB5">
      <w:pPr>
        <w:spacing w:line="360" w:lineRule="auto"/>
        <w:rPr>
          <w:rFonts w:ascii="David" w:hAnsi="David"/>
          <w:noProof w:val="0"/>
          <w:rtl/>
        </w:rPr>
      </w:pPr>
    </w:p>
    <w:p w:rsidR="00FA1DB5" w:rsidRPr="00FA1DB5" w:rsidRDefault="00FA1DB5" w:rsidP="00474E6D">
      <w:pPr>
        <w:numPr>
          <w:ilvl w:val="0"/>
          <w:numId w:val="1"/>
        </w:numPr>
        <w:spacing w:after="160" w:line="360" w:lineRule="auto"/>
        <w:contextualSpacing/>
        <w:jc w:val="both"/>
        <w:rPr>
          <w:rFonts w:ascii="David" w:hAnsi="David"/>
          <w:noProof w:val="0"/>
          <w:rtl/>
        </w:rPr>
      </w:pPr>
      <w:r w:rsidRPr="00FA1DB5">
        <w:rPr>
          <w:rFonts w:ascii="David" w:hAnsi="David"/>
          <w:noProof w:val="0"/>
          <w:rtl/>
        </w:rPr>
        <w:t xml:space="preserve">הצדדים: </w:t>
      </w:r>
      <w:r w:rsidR="00474E6D">
        <w:rPr>
          <w:rFonts w:ascii="David" w:hAnsi="David"/>
          <w:noProof w:val="0"/>
          <w:rtl/>
        </w:rPr>
        <w:t>אלמונית 1</w:t>
      </w:r>
      <w:r w:rsidRPr="00FA1DB5">
        <w:rPr>
          <w:rFonts w:ascii="David" w:hAnsi="David"/>
          <w:noProof w:val="0"/>
          <w:rtl/>
        </w:rPr>
        <w:t xml:space="preserve">, </w:t>
      </w:r>
      <w:r w:rsidR="00474E6D">
        <w:rPr>
          <w:rFonts w:ascii="David" w:hAnsi="David"/>
          <w:noProof w:val="0"/>
          <w:rtl/>
        </w:rPr>
        <w:t>פלוני</w:t>
      </w:r>
      <w:r w:rsidRPr="00FA1DB5">
        <w:rPr>
          <w:rFonts w:ascii="David" w:hAnsi="David"/>
          <w:noProof w:val="0"/>
          <w:rtl/>
        </w:rPr>
        <w:t xml:space="preserve">, </w:t>
      </w:r>
      <w:r w:rsidR="00474E6D">
        <w:rPr>
          <w:rFonts w:ascii="David" w:hAnsi="David"/>
          <w:noProof w:val="0"/>
          <w:rtl/>
        </w:rPr>
        <w:t>אלמוני</w:t>
      </w:r>
      <w:r w:rsidRPr="00FA1DB5">
        <w:rPr>
          <w:rFonts w:ascii="David" w:hAnsi="David"/>
          <w:noProof w:val="0"/>
          <w:rtl/>
        </w:rPr>
        <w:t xml:space="preserve">, </w:t>
      </w:r>
      <w:r w:rsidR="00474E6D">
        <w:rPr>
          <w:rFonts w:ascii="David" w:hAnsi="David"/>
          <w:noProof w:val="0"/>
          <w:rtl/>
        </w:rPr>
        <w:t>אלמוני 1</w:t>
      </w:r>
      <w:r w:rsidRPr="00FA1DB5">
        <w:rPr>
          <w:rFonts w:ascii="David" w:hAnsi="David"/>
          <w:noProof w:val="0"/>
          <w:rtl/>
        </w:rPr>
        <w:t xml:space="preserve">, </w:t>
      </w:r>
      <w:r w:rsidR="00474E6D">
        <w:rPr>
          <w:rFonts w:ascii="David" w:hAnsi="David"/>
          <w:noProof w:val="0"/>
          <w:rtl/>
        </w:rPr>
        <w:t>פלונית</w:t>
      </w:r>
      <w:r w:rsidRPr="00FA1DB5">
        <w:rPr>
          <w:rFonts w:ascii="David" w:hAnsi="David"/>
          <w:noProof w:val="0"/>
          <w:rtl/>
        </w:rPr>
        <w:t xml:space="preserve"> </w:t>
      </w:r>
      <w:r w:rsidR="00D200E5">
        <w:rPr>
          <w:rFonts w:ascii="David" w:hAnsi="David" w:hint="cs"/>
          <w:noProof w:val="0"/>
          <w:rtl/>
        </w:rPr>
        <w:t xml:space="preserve">ז"ל </w:t>
      </w:r>
      <w:r w:rsidRPr="00FA1DB5">
        <w:rPr>
          <w:rFonts w:ascii="David" w:hAnsi="David"/>
          <w:noProof w:val="0"/>
          <w:rtl/>
        </w:rPr>
        <w:t>(יורשיה באו בנעליה כיום) הם אחים</w:t>
      </w:r>
      <w:r w:rsidR="004B1BCE">
        <w:rPr>
          <w:rFonts w:ascii="David" w:hAnsi="David" w:hint="cs"/>
          <w:noProof w:val="0"/>
          <w:rtl/>
        </w:rPr>
        <w:t>,</w:t>
      </w:r>
      <w:r w:rsidRPr="00FA1DB5">
        <w:rPr>
          <w:rFonts w:ascii="David" w:hAnsi="David"/>
          <w:noProof w:val="0"/>
          <w:rtl/>
        </w:rPr>
        <w:t xml:space="preserve"> כולם ילד</w:t>
      </w:r>
      <w:r w:rsidR="004B1BCE">
        <w:rPr>
          <w:rFonts w:ascii="David" w:hAnsi="David" w:hint="cs"/>
          <w:noProof w:val="0"/>
          <w:rtl/>
        </w:rPr>
        <w:t>י</w:t>
      </w:r>
      <w:r w:rsidRPr="00FA1DB5">
        <w:rPr>
          <w:rFonts w:ascii="David" w:hAnsi="David"/>
          <w:noProof w:val="0"/>
          <w:rtl/>
        </w:rPr>
        <w:t xml:space="preserve">ה של המנוחה  </w:t>
      </w:r>
      <w:r w:rsidR="00474E6D">
        <w:rPr>
          <w:rFonts w:ascii="David" w:hAnsi="David"/>
          <w:noProof w:val="0"/>
          <w:rtl/>
        </w:rPr>
        <w:t>אלמונית</w:t>
      </w:r>
      <w:r w:rsidRPr="00FA1DB5">
        <w:rPr>
          <w:rFonts w:ascii="David" w:hAnsi="David"/>
          <w:noProof w:val="0"/>
          <w:rtl/>
        </w:rPr>
        <w:t xml:space="preserve"> (להלן: "</w:t>
      </w:r>
      <w:r w:rsidRPr="00FA1DB5">
        <w:rPr>
          <w:rFonts w:ascii="David" w:hAnsi="David"/>
          <w:b/>
          <w:bCs/>
          <w:noProof w:val="0"/>
          <w:rtl/>
        </w:rPr>
        <w:t>המנוחה</w:t>
      </w:r>
      <w:r w:rsidRPr="00FA1DB5">
        <w:rPr>
          <w:rFonts w:ascii="David" w:hAnsi="David"/>
          <w:noProof w:val="0"/>
          <w:rtl/>
        </w:rPr>
        <w:t>") אשר הותירה צוואה מיום 23.3.03 (להלן: "</w:t>
      </w:r>
      <w:r w:rsidRPr="00FA1DB5">
        <w:rPr>
          <w:rFonts w:ascii="David" w:hAnsi="David"/>
          <w:b/>
          <w:bCs/>
          <w:noProof w:val="0"/>
          <w:rtl/>
        </w:rPr>
        <w:t>הצוואה</w:t>
      </w:r>
      <w:r w:rsidR="00D9778C">
        <w:rPr>
          <w:rFonts w:ascii="David" w:hAnsi="David"/>
          <w:noProof w:val="0"/>
          <w:rtl/>
        </w:rPr>
        <w:t>")</w:t>
      </w:r>
      <w:r w:rsidR="00D9778C">
        <w:rPr>
          <w:rFonts w:ascii="David" w:hAnsi="David" w:hint="cs"/>
          <w:noProof w:val="0"/>
          <w:rtl/>
        </w:rPr>
        <w:t xml:space="preserve">, </w:t>
      </w:r>
      <w:r w:rsidRPr="00FA1DB5">
        <w:rPr>
          <w:rFonts w:ascii="David" w:hAnsi="David"/>
          <w:noProof w:val="0"/>
          <w:rtl/>
        </w:rPr>
        <w:t xml:space="preserve"> שהוגשה בעבר לקיום על ידי בנה </w:t>
      </w:r>
      <w:r w:rsidR="00474E6D">
        <w:rPr>
          <w:rFonts w:ascii="David" w:hAnsi="David"/>
          <w:noProof w:val="0"/>
          <w:rtl/>
        </w:rPr>
        <w:t>אלמוני</w:t>
      </w:r>
      <w:r w:rsidRPr="00FA1DB5">
        <w:rPr>
          <w:rFonts w:ascii="David" w:hAnsi="David"/>
          <w:noProof w:val="0"/>
          <w:rtl/>
        </w:rPr>
        <w:t xml:space="preserve"> (להלן: "</w:t>
      </w:r>
      <w:r w:rsidR="00474E6D">
        <w:rPr>
          <w:rFonts w:ascii="David" w:hAnsi="David"/>
          <w:b/>
          <w:bCs/>
          <w:noProof w:val="0"/>
          <w:rtl/>
        </w:rPr>
        <w:t>אלמוני</w:t>
      </w:r>
      <w:r w:rsidRPr="00FA1DB5">
        <w:rPr>
          <w:rFonts w:ascii="David" w:hAnsi="David"/>
          <w:noProof w:val="0"/>
          <w:rtl/>
        </w:rPr>
        <w:t>").</w:t>
      </w:r>
    </w:p>
    <w:p w:rsidR="00FA1DB5" w:rsidRPr="00FA1DB5" w:rsidRDefault="00FA1DB5" w:rsidP="00FA1DB5">
      <w:pPr>
        <w:spacing w:line="360" w:lineRule="auto"/>
        <w:ind w:left="720"/>
        <w:contextualSpacing/>
        <w:jc w:val="both"/>
        <w:rPr>
          <w:rFonts w:ascii="David" w:hAnsi="David"/>
          <w:noProof w:val="0"/>
        </w:rPr>
      </w:pPr>
    </w:p>
    <w:p w:rsidR="00FA1DB5" w:rsidRPr="00FA1DB5" w:rsidRDefault="00FA1DB5" w:rsidP="00474E6D">
      <w:pPr>
        <w:numPr>
          <w:ilvl w:val="0"/>
          <w:numId w:val="1"/>
        </w:numPr>
        <w:spacing w:after="160" w:line="360" w:lineRule="auto"/>
        <w:contextualSpacing/>
        <w:jc w:val="both"/>
        <w:rPr>
          <w:rFonts w:ascii="Arial" w:hAnsi="Arial"/>
          <w:b/>
          <w:bCs/>
          <w:noProof w:val="0"/>
          <w:u w:val="single"/>
        </w:rPr>
      </w:pPr>
      <w:r w:rsidRPr="00FA1DB5">
        <w:rPr>
          <w:rFonts w:ascii="David" w:hAnsi="David"/>
          <w:noProof w:val="0"/>
          <w:rtl/>
        </w:rPr>
        <w:t xml:space="preserve">הבקשה הנוכחית הוגשה על ידי האח </w:t>
      </w:r>
      <w:r w:rsidR="00474E6D">
        <w:rPr>
          <w:rFonts w:ascii="David" w:hAnsi="David"/>
          <w:noProof w:val="0"/>
          <w:rtl/>
        </w:rPr>
        <w:t>פלוני</w:t>
      </w:r>
      <w:r w:rsidRPr="00FA1DB5">
        <w:rPr>
          <w:rFonts w:ascii="David" w:hAnsi="David"/>
          <w:noProof w:val="0"/>
          <w:rtl/>
        </w:rPr>
        <w:t xml:space="preserve"> (להלן: "</w:t>
      </w:r>
      <w:r w:rsidR="00474E6D">
        <w:rPr>
          <w:rFonts w:ascii="David" w:hAnsi="David"/>
          <w:b/>
          <w:bCs/>
          <w:noProof w:val="0"/>
          <w:rtl/>
        </w:rPr>
        <w:t>פלוני</w:t>
      </w:r>
      <w:r w:rsidRPr="00FA1DB5">
        <w:rPr>
          <w:rFonts w:ascii="David" w:hAnsi="David"/>
          <w:noProof w:val="0"/>
          <w:rtl/>
        </w:rPr>
        <w:t xml:space="preserve">") נגד אחותו </w:t>
      </w:r>
      <w:r w:rsidR="00474E6D">
        <w:rPr>
          <w:rFonts w:ascii="David" w:hAnsi="David"/>
          <w:noProof w:val="0"/>
          <w:rtl/>
        </w:rPr>
        <w:t>אלמונית 1</w:t>
      </w:r>
      <w:r w:rsidRPr="00FA1DB5">
        <w:rPr>
          <w:rFonts w:ascii="David" w:hAnsi="David"/>
          <w:noProof w:val="0"/>
          <w:rtl/>
        </w:rPr>
        <w:t xml:space="preserve"> (להלן:"</w:t>
      </w:r>
      <w:r w:rsidR="00474E6D">
        <w:rPr>
          <w:rFonts w:ascii="David" w:hAnsi="David"/>
          <w:b/>
          <w:bCs/>
          <w:noProof w:val="0"/>
          <w:rtl/>
        </w:rPr>
        <w:t>אלמונית 1</w:t>
      </w:r>
      <w:r w:rsidRPr="00FA1DB5">
        <w:rPr>
          <w:rFonts w:ascii="David" w:hAnsi="David"/>
          <w:noProof w:val="0"/>
          <w:rtl/>
        </w:rPr>
        <w:t xml:space="preserve">"). מדובר בבקשה </w:t>
      </w:r>
      <w:r w:rsidRPr="00FA1DB5">
        <w:rPr>
          <w:rFonts w:ascii="Arial" w:hAnsi="Arial"/>
          <w:noProof w:val="0"/>
          <w:rtl/>
        </w:rPr>
        <w:t>לסילוק על הסף וביטול צו ירושה מיום 22.11.2023 שהתקבל כדין לכאורה</w:t>
      </w:r>
      <w:r w:rsidR="004B1BCE">
        <w:rPr>
          <w:rFonts w:ascii="Arial" w:hAnsi="Arial" w:hint="cs"/>
          <w:noProof w:val="0"/>
          <w:rtl/>
        </w:rPr>
        <w:t>,</w:t>
      </w:r>
      <w:r w:rsidRPr="00FA1DB5">
        <w:rPr>
          <w:rFonts w:ascii="Arial" w:hAnsi="Arial"/>
          <w:noProof w:val="0"/>
          <w:rtl/>
        </w:rPr>
        <w:t xml:space="preserve"> לבקשת </w:t>
      </w:r>
      <w:r w:rsidR="00474E6D">
        <w:rPr>
          <w:rFonts w:ascii="Arial" w:hAnsi="Arial"/>
          <w:noProof w:val="0"/>
          <w:rtl/>
        </w:rPr>
        <w:t>אלמונית 1</w:t>
      </w:r>
      <w:r w:rsidR="004B1BCE">
        <w:rPr>
          <w:rFonts w:ascii="Arial" w:hAnsi="Arial" w:hint="cs"/>
          <w:noProof w:val="0"/>
          <w:rtl/>
        </w:rPr>
        <w:t>,</w:t>
      </w:r>
      <w:r w:rsidRPr="00FA1DB5">
        <w:rPr>
          <w:rFonts w:ascii="Arial" w:hAnsi="Arial"/>
          <w:noProof w:val="0"/>
          <w:rtl/>
        </w:rPr>
        <w:t xml:space="preserve"> לצד בקשתה למינוי מנהל עזבון המנוחה, </w:t>
      </w:r>
      <w:r w:rsidR="004B1BCE">
        <w:rPr>
          <w:rFonts w:ascii="Arial" w:hAnsi="Arial" w:hint="cs"/>
          <w:noProof w:val="0"/>
          <w:rtl/>
        </w:rPr>
        <w:t>כל זאת, ב</w:t>
      </w:r>
      <w:r w:rsidRPr="00FA1DB5">
        <w:rPr>
          <w:rFonts w:ascii="Arial" w:hAnsi="Arial"/>
          <w:noProof w:val="0"/>
          <w:rtl/>
        </w:rPr>
        <w:t>שעה שקיים</w:t>
      </w:r>
      <w:r w:rsidR="004B1BCE">
        <w:rPr>
          <w:rFonts w:ascii="Arial" w:hAnsi="Arial" w:hint="cs"/>
          <w:noProof w:val="0"/>
          <w:rtl/>
        </w:rPr>
        <w:t xml:space="preserve">, </w:t>
      </w:r>
      <w:r w:rsidR="004B1BCE" w:rsidRPr="004B1BCE">
        <w:rPr>
          <w:rFonts w:ascii="Arial" w:hAnsi="Arial" w:hint="cs"/>
          <w:b/>
          <w:bCs/>
          <w:noProof w:val="0"/>
          <w:u w:val="single"/>
          <w:rtl/>
        </w:rPr>
        <w:t>בעניינה של אותה מנוחה</w:t>
      </w:r>
      <w:r w:rsidR="004B1BCE">
        <w:rPr>
          <w:rFonts w:ascii="Arial" w:hAnsi="Arial" w:hint="cs"/>
          <w:noProof w:val="0"/>
          <w:rtl/>
        </w:rPr>
        <w:t xml:space="preserve">, </w:t>
      </w:r>
      <w:r w:rsidRPr="00FA1DB5">
        <w:rPr>
          <w:rFonts w:ascii="Arial" w:hAnsi="Arial"/>
          <w:noProof w:val="0"/>
          <w:rtl/>
        </w:rPr>
        <w:t>פסק דין המקיים את צוואתה</w:t>
      </w:r>
      <w:r w:rsidR="004B1BCE">
        <w:rPr>
          <w:rFonts w:ascii="Arial" w:hAnsi="Arial" w:hint="cs"/>
          <w:noProof w:val="0"/>
          <w:rtl/>
        </w:rPr>
        <w:t xml:space="preserve">, </w:t>
      </w:r>
      <w:r w:rsidRPr="00FA1DB5">
        <w:rPr>
          <w:rFonts w:ascii="Arial" w:hAnsi="Arial"/>
          <w:noProof w:val="0"/>
          <w:rtl/>
        </w:rPr>
        <w:t>שמעולם לא בוטל</w:t>
      </w:r>
      <w:r w:rsidR="004B1BCE">
        <w:rPr>
          <w:rFonts w:ascii="Arial" w:hAnsi="Arial" w:hint="cs"/>
          <w:noProof w:val="0"/>
          <w:rtl/>
        </w:rPr>
        <w:t xml:space="preserve">, ואף </w:t>
      </w:r>
      <w:r w:rsidRPr="00FA1DB5">
        <w:rPr>
          <w:rFonts w:ascii="Arial" w:hAnsi="Arial"/>
          <w:noProof w:val="0"/>
          <w:rtl/>
        </w:rPr>
        <w:t>הוגשה בקשה לבטלו מכוח סעיף 72 לחוק הירושה, תשכ"ה-1965 (להלן: "</w:t>
      </w:r>
      <w:r w:rsidRPr="00FA1DB5">
        <w:rPr>
          <w:rFonts w:ascii="Arial" w:hAnsi="Arial"/>
          <w:b/>
          <w:bCs/>
          <w:noProof w:val="0"/>
          <w:rtl/>
        </w:rPr>
        <w:t>חוק הירושה</w:t>
      </w:r>
      <w:r w:rsidRPr="00FA1DB5">
        <w:rPr>
          <w:rFonts w:ascii="Arial" w:hAnsi="Arial"/>
          <w:noProof w:val="0"/>
          <w:rtl/>
        </w:rPr>
        <w:t>"),</w:t>
      </w:r>
      <w:r w:rsidRPr="00FA1DB5">
        <w:rPr>
          <w:rFonts w:ascii="Arial" w:hAnsi="Arial"/>
          <w:b/>
          <w:bCs/>
          <w:noProof w:val="0"/>
          <w:u w:val="single"/>
          <w:rtl/>
        </w:rPr>
        <w:t xml:space="preserve"> </w:t>
      </w:r>
      <w:r w:rsidR="00D9778C">
        <w:rPr>
          <w:rFonts w:ascii="Arial" w:hAnsi="Arial" w:hint="cs"/>
          <w:b/>
          <w:bCs/>
          <w:noProof w:val="0"/>
          <w:u w:val="single"/>
          <w:rtl/>
        </w:rPr>
        <w:t>בקשה ש</w:t>
      </w:r>
      <w:r w:rsidRPr="00FA1DB5">
        <w:rPr>
          <w:rFonts w:ascii="Arial" w:hAnsi="Arial"/>
          <w:b/>
          <w:bCs/>
          <w:noProof w:val="0"/>
          <w:u w:val="single"/>
          <w:rtl/>
        </w:rPr>
        <w:t>נדחתה</w:t>
      </w:r>
      <w:r w:rsidR="00D9778C">
        <w:rPr>
          <w:rFonts w:ascii="Arial" w:hAnsi="Arial" w:hint="cs"/>
          <w:b/>
          <w:bCs/>
          <w:noProof w:val="0"/>
          <w:u w:val="single"/>
          <w:rtl/>
        </w:rPr>
        <w:t>, הכל</w:t>
      </w:r>
      <w:r w:rsidRPr="00FA1DB5">
        <w:rPr>
          <w:rFonts w:ascii="Arial" w:hAnsi="Arial"/>
          <w:b/>
          <w:bCs/>
          <w:noProof w:val="0"/>
          <w:u w:val="single"/>
          <w:rtl/>
        </w:rPr>
        <w:t xml:space="preserve"> כפי שאפרט בהרחבה בהמשך</w:t>
      </w:r>
      <w:r w:rsidRPr="00FA1DB5">
        <w:rPr>
          <w:rFonts w:ascii="Arial" w:hAnsi="Arial"/>
          <w:noProof w:val="0"/>
          <w:rtl/>
        </w:rPr>
        <w:t xml:space="preserve">. </w:t>
      </w:r>
    </w:p>
    <w:p w:rsidR="00FA1DB5" w:rsidRPr="00D9778C" w:rsidRDefault="00FA1DB5" w:rsidP="00FA1DB5">
      <w:pPr>
        <w:spacing w:after="160" w:line="256" w:lineRule="auto"/>
        <w:ind w:left="720"/>
        <w:contextualSpacing/>
        <w:rPr>
          <w:rFonts w:ascii="Arial" w:hAnsi="Arial"/>
          <w:noProof w:val="0"/>
        </w:rPr>
      </w:pPr>
    </w:p>
    <w:p w:rsidR="00FA1DB5" w:rsidRPr="00FA1DB5" w:rsidRDefault="00FA1DB5" w:rsidP="00D9778C">
      <w:pPr>
        <w:numPr>
          <w:ilvl w:val="0"/>
          <w:numId w:val="1"/>
        </w:numPr>
        <w:spacing w:after="160" w:line="360" w:lineRule="auto"/>
        <w:contextualSpacing/>
        <w:jc w:val="both"/>
        <w:rPr>
          <w:rFonts w:ascii="David" w:hAnsi="David"/>
          <w:noProof w:val="0"/>
          <w:rtl/>
        </w:rPr>
      </w:pPr>
      <w:r w:rsidRPr="00FA1DB5">
        <w:rPr>
          <w:rFonts w:ascii="Arial" w:hAnsi="Arial"/>
          <w:noProof w:val="0"/>
          <w:rtl/>
        </w:rPr>
        <w:t xml:space="preserve">עובר להגשת בקשה זו, התנהלו הליכים </w:t>
      </w:r>
      <w:r w:rsidR="00D9778C">
        <w:rPr>
          <w:rFonts w:ascii="Arial" w:hAnsi="Arial" w:hint="cs"/>
          <w:noProof w:val="0"/>
          <w:rtl/>
        </w:rPr>
        <w:t xml:space="preserve">רבים, </w:t>
      </w:r>
      <w:r w:rsidRPr="00FA1DB5">
        <w:rPr>
          <w:rFonts w:ascii="Arial" w:hAnsi="Arial"/>
          <w:noProof w:val="0"/>
          <w:rtl/>
        </w:rPr>
        <w:t>ב</w:t>
      </w:r>
      <w:r w:rsidR="00D9778C">
        <w:rPr>
          <w:rFonts w:ascii="Arial" w:hAnsi="Arial" w:hint="cs"/>
          <w:noProof w:val="0"/>
          <w:rtl/>
        </w:rPr>
        <w:t xml:space="preserve">מספר </w:t>
      </w:r>
      <w:r w:rsidRPr="00FA1DB5">
        <w:rPr>
          <w:rFonts w:ascii="Arial" w:hAnsi="Arial"/>
          <w:noProof w:val="0"/>
          <w:rtl/>
        </w:rPr>
        <w:t xml:space="preserve">ערכאות (בימ"ש למשפחה ובית המשפט המחוזי). </w:t>
      </w:r>
      <w:r w:rsidR="00D9778C">
        <w:rPr>
          <w:rFonts w:ascii="Arial" w:hAnsi="Arial" w:hint="cs"/>
          <w:noProof w:val="0"/>
          <w:rtl/>
        </w:rPr>
        <w:t xml:space="preserve">להלן </w:t>
      </w:r>
      <w:r w:rsidRPr="00FA1DB5">
        <w:rPr>
          <w:rFonts w:ascii="Arial" w:hAnsi="Arial"/>
          <w:noProof w:val="0"/>
          <w:rtl/>
        </w:rPr>
        <w:t>אביא את תמצית ההליכים ועיקרם בלבד .</w:t>
      </w:r>
    </w:p>
    <w:p w:rsidR="00FA1DB5" w:rsidRPr="00FA1DB5" w:rsidRDefault="00FA1DB5" w:rsidP="00FA1DB5">
      <w:pPr>
        <w:spacing w:after="160" w:line="256" w:lineRule="auto"/>
        <w:ind w:left="720"/>
        <w:contextualSpacing/>
        <w:rPr>
          <w:rFonts w:ascii="Arial" w:hAnsi="Arial"/>
          <w:noProof w:val="0"/>
        </w:rPr>
      </w:pPr>
    </w:p>
    <w:p w:rsidR="00FA1DB5" w:rsidRPr="00D9778C" w:rsidRDefault="00FA1DB5" w:rsidP="00D9778C">
      <w:pPr>
        <w:numPr>
          <w:ilvl w:val="0"/>
          <w:numId w:val="1"/>
        </w:numPr>
        <w:spacing w:after="160" w:line="360" w:lineRule="auto"/>
        <w:contextualSpacing/>
        <w:jc w:val="both"/>
        <w:rPr>
          <w:rFonts w:ascii="David" w:hAnsi="David"/>
          <w:noProof w:val="0"/>
          <w:rtl/>
        </w:rPr>
      </w:pPr>
      <w:r w:rsidRPr="00FA1DB5">
        <w:rPr>
          <w:rFonts w:ascii="Arial" w:hAnsi="Arial"/>
          <w:noProof w:val="0"/>
          <w:rtl/>
        </w:rPr>
        <w:t xml:space="preserve">בשנת 2010 הגיש </w:t>
      </w:r>
      <w:r w:rsidR="00474E6D">
        <w:rPr>
          <w:rFonts w:ascii="Arial" w:hAnsi="Arial"/>
          <w:noProof w:val="0"/>
          <w:rtl/>
        </w:rPr>
        <w:t>אלמוני</w:t>
      </w:r>
      <w:r w:rsidRPr="00FA1DB5">
        <w:rPr>
          <w:rFonts w:ascii="Arial" w:hAnsi="Arial"/>
          <w:noProof w:val="0"/>
          <w:rtl/>
        </w:rPr>
        <w:t xml:space="preserve"> בקשה לקיום הצוואה. </w:t>
      </w:r>
      <w:r w:rsidR="00474E6D">
        <w:rPr>
          <w:rFonts w:ascii="Arial" w:hAnsi="Arial"/>
          <w:noProof w:val="0"/>
          <w:rtl/>
        </w:rPr>
        <w:t>פלוני</w:t>
      </w:r>
      <w:r w:rsidRPr="00FA1DB5">
        <w:rPr>
          <w:rFonts w:ascii="Arial" w:hAnsi="Arial"/>
          <w:noProof w:val="0"/>
          <w:rtl/>
        </w:rPr>
        <w:t xml:space="preserve"> הגיש התנגדות</w:t>
      </w:r>
      <w:r w:rsidR="00D9778C">
        <w:rPr>
          <w:rFonts w:ascii="Arial" w:hAnsi="Arial" w:hint="cs"/>
          <w:noProof w:val="0"/>
          <w:rtl/>
        </w:rPr>
        <w:t xml:space="preserve">.  </w:t>
      </w:r>
      <w:r w:rsidRPr="00FA1DB5">
        <w:rPr>
          <w:rFonts w:ascii="Arial" w:hAnsi="Arial"/>
          <w:noProof w:val="0"/>
          <w:rtl/>
        </w:rPr>
        <w:t>הדיון בתקפה של הצוואה הת</w:t>
      </w:r>
      <w:r w:rsidR="00D9778C">
        <w:rPr>
          <w:rFonts w:ascii="Arial" w:hAnsi="Arial" w:hint="cs"/>
          <w:noProof w:val="0"/>
          <w:rtl/>
        </w:rPr>
        <w:t xml:space="preserve">נהל בבית המשפט למשפחה בחיפה, </w:t>
      </w:r>
      <w:r w:rsidRPr="00FA1DB5">
        <w:rPr>
          <w:rFonts w:ascii="Arial" w:hAnsi="Arial"/>
          <w:noProof w:val="0"/>
          <w:rtl/>
        </w:rPr>
        <w:t>ב</w:t>
      </w:r>
      <w:r w:rsidR="00D9778C">
        <w:rPr>
          <w:rFonts w:ascii="Arial" w:hAnsi="Arial" w:hint="cs"/>
          <w:noProof w:val="0"/>
          <w:rtl/>
        </w:rPr>
        <w:t xml:space="preserve">מסגרת תיק </w:t>
      </w:r>
      <w:r w:rsidRPr="00FA1DB5">
        <w:rPr>
          <w:rFonts w:ascii="Arial" w:hAnsi="Arial"/>
          <w:noProof w:val="0"/>
          <w:rtl/>
        </w:rPr>
        <w:t>ת"ע 7938-02-10.</w:t>
      </w:r>
      <w:r w:rsidRPr="00FA1DB5">
        <w:rPr>
          <w:rFonts w:ascii="David" w:hAnsi="David"/>
          <w:noProof w:val="0"/>
          <w:rtl/>
        </w:rPr>
        <w:t xml:space="preserve"> יתר בנותיה של המנוחה: </w:t>
      </w:r>
      <w:r w:rsidR="00474E6D">
        <w:rPr>
          <w:rFonts w:ascii="David" w:hAnsi="David"/>
          <w:noProof w:val="0"/>
          <w:rtl/>
        </w:rPr>
        <w:t>אלמונית 1</w:t>
      </w:r>
      <w:r w:rsidRPr="00FA1DB5">
        <w:rPr>
          <w:rFonts w:ascii="David" w:hAnsi="David"/>
          <w:noProof w:val="0"/>
          <w:rtl/>
        </w:rPr>
        <w:t xml:space="preserve">, </w:t>
      </w:r>
      <w:r w:rsidR="00474E6D">
        <w:rPr>
          <w:rFonts w:ascii="David" w:hAnsi="David"/>
          <w:noProof w:val="0"/>
          <w:rtl/>
        </w:rPr>
        <w:t>פלונית</w:t>
      </w:r>
      <w:r w:rsidRPr="00FA1DB5">
        <w:rPr>
          <w:rFonts w:ascii="David" w:hAnsi="David"/>
          <w:noProof w:val="0"/>
          <w:rtl/>
        </w:rPr>
        <w:t>, ו</w:t>
      </w:r>
      <w:r w:rsidR="00474E6D">
        <w:rPr>
          <w:rFonts w:ascii="David" w:hAnsi="David"/>
          <w:noProof w:val="0"/>
          <w:rtl/>
        </w:rPr>
        <w:t>אלמוני 1</w:t>
      </w:r>
      <w:r w:rsidRPr="00FA1DB5">
        <w:rPr>
          <w:rFonts w:ascii="David" w:hAnsi="David"/>
          <w:noProof w:val="0"/>
          <w:rtl/>
        </w:rPr>
        <w:t xml:space="preserve"> לא נטלו חלק בהליך.</w:t>
      </w:r>
      <w:r w:rsidR="00D9778C">
        <w:rPr>
          <w:rFonts w:ascii="David" w:hAnsi="David" w:hint="cs"/>
          <w:noProof w:val="0"/>
          <w:rtl/>
        </w:rPr>
        <w:t xml:space="preserve">  </w:t>
      </w:r>
      <w:r w:rsidRPr="00D9778C">
        <w:rPr>
          <w:rFonts w:ascii="Arial" w:hAnsi="Arial"/>
          <w:noProof w:val="0"/>
          <w:rtl/>
        </w:rPr>
        <w:t>ביום 21.5.13 ניתן פסק דין בת"ע 7938-02-10, ע"י כב' השופט ברגר</w:t>
      </w:r>
      <w:r w:rsidR="00D9778C" w:rsidRPr="00D9778C">
        <w:rPr>
          <w:rFonts w:ascii="Arial" w:hAnsi="Arial" w:hint="cs"/>
          <w:noProof w:val="0"/>
          <w:rtl/>
        </w:rPr>
        <w:t>,</w:t>
      </w:r>
      <w:r w:rsidRPr="00D9778C">
        <w:rPr>
          <w:rFonts w:ascii="Arial" w:hAnsi="Arial"/>
          <w:noProof w:val="0"/>
          <w:rtl/>
        </w:rPr>
        <w:t xml:space="preserve"> בגדרו הורה על ביטול הצוואה</w:t>
      </w:r>
      <w:r w:rsidR="00D9778C" w:rsidRPr="00D9778C">
        <w:rPr>
          <w:rFonts w:ascii="Arial" w:hAnsi="Arial" w:hint="cs"/>
          <w:noProof w:val="0"/>
          <w:rtl/>
        </w:rPr>
        <w:t xml:space="preserve">, זאת </w:t>
      </w:r>
      <w:r w:rsidRPr="00D9778C">
        <w:rPr>
          <w:rFonts w:ascii="Arial" w:hAnsi="Arial"/>
          <w:noProof w:val="0"/>
          <w:rtl/>
        </w:rPr>
        <w:t>מכוח ס' 35 לחוק הירושה.</w:t>
      </w:r>
    </w:p>
    <w:p w:rsidR="00FA1DB5" w:rsidRPr="00FA1DB5" w:rsidRDefault="00FA1DB5" w:rsidP="00FA1DB5">
      <w:pPr>
        <w:spacing w:after="160" w:line="256" w:lineRule="auto"/>
        <w:ind w:left="720"/>
        <w:contextualSpacing/>
        <w:rPr>
          <w:rFonts w:ascii="Arial" w:hAnsi="Arial"/>
          <w:noProof w:val="0"/>
        </w:rPr>
      </w:pPr>
    </w:p>
    <w:p w:rsidR="007752B0" w:rsidRPr="007752B0" w:rsidRDefault="00474E6D" w:rsidP="007752B0">
      <w:pPr>
        <w:numPr>
          <w:ilvl w:val="0"/>
          <w:numId w:val="1"/>
        </w:numPr>
        <w:spacing w:after="160" w:line="360" w:lineRule="auto"/>
        <w:contextualSpacing/>
        <w:jc w:val="both"/>
        <w:rPr>
          <w:rFonts w:ascii="David" w:hAnsi="David"/>
          <w:noProof w:val="0"/>
        </w:rPr>
      </w:pPr>
      <w:r>
        <w:rPr>
          <w:rFonts w:ascii="Arial" w:hAnsi="Arial"/>
          <w:noProof w:val="0"/>
          <w:rtl/>
        </w:rPr>
        <w:t>אלמוני</w:t>
      </w:r>
      <w:r w:rsidR="00FA1DB5" w:rsidRPr="00FA1DB5">
        <w:rPr>
          <w:rFonts w:ascii="Arial" w:hAnsi="Arial"/>
          <w:noProof w:val="0"/>
          <w:rtl/>
        </w:rPr>
        <w:t xml:space="preserve"> לא השלים עם התוצאה</w:t>
      </w:r>
      <w:r w:rsidR="00D9778C">
        <w:rPr>
          <w:rFonts w:ascii="Arial" w:hAnsi="Arial" w:hint="cs"/>
          <w:noProof w:val="0"/>
          <w:rtl/>
        </w:rPr>
        <w:t xml:space="preserve">, </w:t>
      </w:r>
      <w:r w:rsidR="00FA1DB5" w:rsidRPr="00FA1DB5">
        <w:rPr>
          <w:rFonts w:ascii="Arial" w:hAnsi="Arial"/>
          <w:noProof w:val="0"/>
          <w:rtl/>
        </w:rPr>
        <w:t xml:space="preserve"> והגיש ערעור על פסק הדין הנ"ל</w:t>
      </w:r>
      <w:r w:rsidR="00D9778C">
        <w:rPr>
          <w:rFonts w:ascii="Arial" w:hAnsi="Arial" w:hint="cs"/>
          <w:noProof w:val="0"/>
          <w:rtl/>
        </w:rPr>
        <w:t>,</w:t>
      </w:r>
      <w:r w:rsidR="00FA1DB5" w:rsidRPr="00FA1DB5">
        <w:rPr>
          <w:rFonts w:ascii="Arial" w:hAnsi="Arial"/>
          <w:noProof w:val="0"/>
          <w:rtl/>
        </w:rPr>
        <w:t xml:space="preserve"> שהתברר בבית המשפט המחוזי בחיפה - עמ"ש 7009-09-13. </w:t>
      </w:r>
      <w:r w:rsidR="00FA1DB5" w:rsidRPr="00FA1DB5">
        <w:rPr>
          <w:rFonts w:ascii="Arial" w:hAnsi="Arial"/>
          <w:b/>
          <w:bCs/>
          <w:noProof w:val="0"/>
          <w:u w:val="single"/>
          <w:rtl/>
        </w:rPr>
        <w:t>במסגרת הליך הערעור</w:t>
      </w:r>
      <w:r w:rsidR="00FA1DB5" w:rsidRPr="00FA1DB5">
        <w:rPr>
          <w:rFonts w:ascii="Arial" w:hAnsi="Arial"/>
          <w:noProof w:val="0"/>
          <w:rtl/>
        </w:rPr>
        <w:t xml:space="preserve"> הגיעו הצדדים </w:t>
      </w:r>
      <w:r w:rsidR="00FA1DB5" w:rsidRPr="007752B0">
        <w:rPr>
          <w:rFonts w:ascii="Arial" w:hAnsi="Arial"/>
          <w:b/>
          <w:bCs/>
          <w:noProof w:val="0"/>
          <w:rtl/>
        </w:rPr>
        <w:t>(</w:t>
      </w:r>
      <w:r>
        <w:rPr>
          <w:rFonts w:ascii="Arial" w:hAnsi="Arial"/>
          <w:b/>
          <w:bCs/>
          <w:noProof w:val="0"/>
          <w:rtl/>
        </w:rPr>
        <w:t>פלוני</w:t>
      </w:r>
      <w:r w:rsidR="00FA1DB5" w:rsidRPr="007752B0">
        <w:rPr>
          <w:rFonts w:ascii="Arial" w:hAnsi="Arial"/>
          <w:b/>
          <w:bCs/>
          <w:noProof w:val="0"/>
          <w:rtl/>
        </w:rPr>
        <w:t xml:space="preserve"> ו</w:t>
      </w:r>
      <w:r>
        <w:rPr>
          <w:rFonts w:ascii="Arial" w:hAnsi="Arial"/>
          <w:b/>
          <w:bCs/>
          <w:noProof w:val="0"/>
          <w:rtl/>
        </w:rPr>
        <w:t>אלמוני</w:t>
      </w:r>
      <w:r w:rsidR="00FA1DB5" w:rsidRPr="007752B0">
        <w:rPr>
          <w:rFonts w:ascii="Arial" w:hAnsi="Arial"/>
          <w:b/>
          <w:bCs/>
          <w:noProof w:val="0"/>
          <w:rtl/>
        </w:rPr>
        <w:t>)</w:t>
      </w:r>
      <w:r w:rsidR="00FA1DB5" w:rsidRPr="00FA1DB5">
        <w:rPr>
          <w:rFonts w:ascii="Arial" w:hAnsi="Arial"/>
          <w:noProof w:val="0"/>
          <w:rtl/>
        </w:rPr>
        <w:t xml:space="preserve"> להסכמות</w:t>
      </w:r>
      <w:r w:rsidR="007752B0">
        <w:rPr>
          <w:rFonts w:ascii="Arial" w:hAnsi="Arial" w:hint="cs"/>
          <w:noProof w:val="0"/>
          <w:rtl/>
        </w:rPr>
        <w:t xml:space="preserve"> אשר קיבלו תוקף של פסק דין, הכל כפי שיפורט להלן.</w:t>
      </w:r>
    </w:p>
    <w:p w:rsidR="007752B0" w:rsidRDefault="007752B0" w:rsidP="007752B0">
      <w:pPr>
        <w:pStyle w:val="ad"/>
        <w:rPr>
          <w:rFonts w:ascii="Arial" w:hAnsi="Arial"/>
          <w:noProof w:val="0"/>
          <w:rtl/>
        </w:rPr>
      </w:pPr>
    </w:p>
    <w:p w:rsidR="007752B0" w:rsidRPr="007752B0" w:rsidRDefault="00FA1DB5" w:rsidP="007752B0">
      <w:pPr>
        <w:numPr>
          <w:ilvl w:val="0"/>
          <w:numId w:val="1"/>
        </w:numPr>
        <w:spacing w:after="160" w:line="360" w:lineRule="auto"/>
        <w:contextualSpacing/>
        <w:jc w:val="both"/>
        <w:rPr>
          <w:rFonts w:ascii="David" w:hAnsi="David"/>
          <w:noProof w:val="0"/>
        </w:rPr>
      </w:pPr>
      <w:r w:rsidRPr="00FA1DB5">
        <w:rPr>
          <w:rFonts w:ascii="Arial" w:hAnsi="Arial"/>
          <w:noProof w:val="0"/>
          <w:rtl/>
        </w:rPr>
        <w:t xml:space="preserve">בפרוטוקול הדיון שהתקיים ביום 6.3.14 </w:t>
      </w:r>
      <w:r w:rsidR="007752B0">
        <w:rPr>
          <w:rFonts w:ascii="David" w:hAnsi="David" w:hint="cs"/>
          <w:noProof w:val="0"/>
          <w:rtl/>
        </w:rPr>
        <w:t>הודיעו הצדדים כדלקמן:</w:t>
      </w:r>
    </w:p>
    <w:p w:rsidR="007752B0" w:rsidRPr="007752B0" w:rsidRDefault="007752B0" w:rsidP="007752B0">
      <w:pPr>
        <w:pStyle w:val="ad"/>
        <w:spacing w:line="360" w:lineRule="auto"/>
        <w:ind w:left="1701" w:right="1134"/>
        <w:jc w:val="both"/>
        <w:rPr>
          <w:b/>
          <w:bCs/>
          <w:noProof w:val="0"/>
          <w:u w:val="single"/>
        </w:rPr>
      </w:pPr>
      <w:r>
        <w:rPr>
          <w:rFonts w:hint="cs"/>
          <w:b/>
          <w:bCs/>
          <w:u w:val="single"/>
          <w:rtl/>
        </w:rPr>
        <w:t>"</w:t>
      </w:r>
      <w:r w:rsidRPr="007752B0">
        <w:rPr>
          <w:rFonts w:hint="cs"/>
          <w:b/>
          <w:bCs/>
          <w:u w:val="single"/>
          <w:rtl/>
        </w:rPr>
        <w:t xml:space="preserve">ב"כ הצדדים: </w:t>
      </w:r>
    </w:p>
    <w:p w:rsidR="007752B0" w:rsidRPr="007752B0" w:rsidRDefault="007752B0" w:rsidP="007752B0">
      <w:pPr>
        <w:pStyle w:val="ad"/>
        <w:spacing w:line="360" w:lineRule="auto"/>
        <w:ind w:left="1701" w:right="1134"/>
        <w:jc w:val="both"/>
        <w:rPr>
          <w:b/>
          <w:bCs/>
          <w:rtl/>
        </w:rPr>
      </w:pPr>
      <w:r w:rsidRPr="007752B0">
        <w:rPr>
          <w:rFonts w:hint="cs"/>
          <w:b/>
          <w:bCs/>
          <w:rtl/>
        </w:rPr>
        <w:t>העקרונות עליהם הסכמנו  הם כדלקמן :</w:t>
      </w:r>
    </w:p>
    <w:p w:rsidR="007752B0" w:rsidRPr="007752B0" w:rsidRDefault="007752B0" w:rsidP="007752B0">
      <w:pPr>
        <w:pStyle w:val="ad"/>
        <w:spacing w:line="360" w:lineRule="auto"/>
        <w:ind w:left="1701" w:right="1134"/>
        <w:jc w:val="both"/>
        <w:rPr>
          <w:b/>
          <w:bCs/>
          <w:rtl/>
        </w:rPr>
      </w:pPr>
      <w:r w:rsidRPr="007752B0">
        <w:rPr>
          <w:rFonts w:hint="cs"/>
          <w:b/>
          <w:bCs/>
          <w:rtl/>
        </w:rPr>
        <w:t>א.</w:t>
      </w:r>
      <w:r w:rsidRPr="007752B0">
        <w:rPr>
          <w:rFonts w:hint="cs"/>
          <w:b/>
          <w:bCs/>
          <w:rtl/>
        </w:rPr>
        <w:tab/>
        <w:t xml:space="preserve">הצוואה תקויים ללא התשריט . </w:t>
      </w:r>
    </w:p>
    <w:p w:rsidR="007752B0" w:rsidRPr="007752B0" w:rsidRDefault="007752B0" w:rsidP="007752B0">
      <w:pPr>
        <w:pStyle w:val="ad"/>
        <w:spacing w:line="360" w:lineRule="auto"/>
        <w:ind w:left="1701" w:right="1134"/>
        <w:jc w:val="both"/>
        <w:rPr>
          <w:b/>
          <w:bCs/>
          <w:rtl/>
        </w:rPr>
      </w:pPr>
      <w:r w:rsidRPr="007752B0">
        <w:rPr>
          <w:rFonts w:hint="cs"/>
          <w:b/>
          <w:bCs/>
          <w:rtl/>
        </w:rPr>
        <w:t>ב.</w:t>
      </w:r>
      <w:r w:rsidRPr="007752B0">
        <w:rPr>
          <w:rFonts w:hint="cs"/>
          <w:b/>
          <w:bCs/>
          <w:rtl/>
        </w:rPr>
        <w:tab/>
        <w:t xml:space="preserve">שני הבתים יירשמו כיחידות נפרדות. </w:t>
      </w:r>
    </w:p>
    <w:p w:rsidR="007752B0" w:rsidRPr="007752B0" w:rsidRDefault="007752B0" w:rsidP="007752B0">
      <w:pPr>
        <w:pStyle w:val="ad"/>
        <w:spacing w:line="360" w:lineRule="auto"/>
        <w:ind w:left="2160" w:right="1134" w:hanging="459"/>
        <w:jc w:val="both"/>
        <w:rPr>
          <w:b/>
          <w:bCs/>
          <w:rtl/>
        </w:rPr>
      </w:pPr>
      <w:r w:rsidRPr="007752B0">
        <w:rPr>
          <w:rFonts w:hint="cs"/>
          <w:b/>
          <w:bCs/>
          <w:rtl/>
        </w:rPr>
        <w:t>ג.</w:t>
      </w:r>
      <w:r w:rsidRPr="007752B0">
        <w:rPr>
          <w:rFonts w:hint="cs"/>
          <w:b/>
          <w:bCs/>
          <w:rtl/>
        </w:rPr>
        <w:tab/>
        <w:t xml:space="preserve">שטחו של המשיב לא יפחת מ – 470 מ"ר, והצדדים מתחייבים להסדיר את קווי הגבול בין שתי היחידות של המגרש.  </w:t>
      </w:r>
    </w:p>
    <w:p w:rsidR="007752B0" w:rsidRPr="007752B0" w:rsidRDefault="007752B0" w:rsidP="007752B0">
      <w:pPr>
        <w:pStyle w:val="ad"/>
        <w:spacing w:line="360" w:lineRule="auto"/>
        <w:ind w:left="2160" w:right="1134" w:hanging="459"/>
        <w:jc w:val="both"/>
        <w:rPr>
          <w:b/>
          <w:bCs/>
          <w:rtl/>
        </w:rPr>
      </w:pPr>
      <w:r w:rsidRPr="007752B0">
        <w:rPr>
          <w:rFonts w:hint="cs"/>
          <w:b/>
          <w:bCs/>
          <w:rtl/>
        </w:rPr>
        <w:t>ד.</w:t>
      </w:r>
      <w:r w:rsidRPr="007752B0">
        <w:rPr>
          <w:rFonts w:hint="cs"/>
          <w:b/>
          <w:bCs/>
          <w:rtl/>
        </w:rPr>
        <w:tab/>
        <w:t xml:space="preserve">אם לא ניתן יהיה לרשום את ביתו של המשיב בשטח של 470 מ"ר ויידרש להצמיד את השטח השביל או חלקו לצורך הרישום , אזיי ייוועצו הצדדים עם איש מקצוע, שיציע לצדדים פתרון. </w:t>
      </w:r>
    </w:p>
    <w:p w:rsidR="007752B0" w:rsidRPr="007752B0" w:rsidRDefault="007752B0" w:rsidP="007752B0">
      <w:pPr>
        <w:pStyle w:val="ad"/>
        <w:spacing w:line="360" w:lineRule="auto"/>
        <w:ind w:left="1701" w:right="1134"/>
        <w:jc w:val="both"/>
        <w:rPr>
          <w:b/>
          <w:bCs/>
          <w:rtl/>
        </w:rPr>
      </w:pPr>
      <w:r w:rsidRPr="007752B0">
        <w:rPr>
          <w:rFonts w:hint="cs"/>
          <w:b/>
          <w:bCs/>
          <w:rtl/>
        </w:rPr>
        <w:t>ה.</w:t>
      </w:r>
      <w:r w:rsidRPr="007752B0">
        <w:rPr>
          <w:rFonts w:hint="cs"/>
          <w:b/>
          <w:bCs/>
          <w:rtl/>
        </w:rPr>
        <w:tab/>
        <w:t>בשלב זה נבקש ליתן להסכמה זו תוקף של פסק דין חלקי.</w:t>
      </w:r>
    </w:p>
    <w:p w:rsidR="007752B0" w:rsidRPr="007752B0" w:rsidRDefault="007752B0" w:rsidP="007752B0">
      <w:pPr>
        <w:pStyle w:val="ad"/>
        <w:spacing w:line="360" w:lineRule="auto"/>
        <w:ind w:left="2160" w:right="1134" w:hanging="459"/>
        <w:jc w:val="both"/>
        <w:rPr>
          <w:b/>
          <w:bCs/>
          <w:rtl/>
        </w:rPr>
      </w:pPr>
      <w:r w:rsidRPr="007752B0">
        <w:rPr>
          <w:rFonts w:hint="cs"/>
          <w:b/>
          <w:bCs/>
          <w:rtl/>
        </w:rPr>
        <w:t>ו.</w:t>
      </w:r>
      <w:r w:rsidRPr="007752B0">
        <w:rPr>
          <w:rFonts w:hint="cs"/>
          <w:b/>
          <w:bCs/>
          <w:rtl/>
        </w:rPr>
        <w:tab/>
        <w:t xml:space="preserve">בתוך 90 ימים מהיום  נגיש לבית המשפט הסכם מפורט לפי העקרונות דלעיל. </w:t>
      </w:r>
    </w:p>
    <w:p w:rsidR="007752B0" w:rsidRPr="007752B0" w:rsidRDefault="007752B0" w:rsidP="007752B0">
      <w:pPr>
        <w:pStyle w:val="ad"/>
        <w:spacing w:line="360" w:lineRule="auto"/>
        <w:ind w:left="2160" w:right="1134" w:hanging="459"/>
        <w:jc w:val="both"/>
        <w:rPr>
          <w:b/>
          <w:bCs/>
          <w:rtl/>
        </w:rPr>
      </w:pPr>
      <w:r w:rsidRPr="007752B0">
        <w:rPr>
          <w:rFonts w:hint="cs"/>
          <w:b/>
          <w:bCs/>
          <w:rtl/>
        </w:rPr>
        <w:t>ז.</w:t>
      </w:r>
      <w:r w:rsidRPr="007752B0">
        <w:rPr>
          <w:rFonts w:hint="cs"/>
          <w:b/>
          <w:bCs/>
          <w:rtl/>
        </w:rPr>
        <w:tab/>
        <w:t>ככל שלא נגיע להסכם מפורט בקטע של המלצת איש המקצוע,  ימשוך המערער את ערעורו.</w:t>
      </w:r>
      <w:r>
        <w:rPr>
          <w:rFonts w:hint="cs"/>
          <w:b/>
          <w:bCs/>
          <w:rtl/>
        </w:rPr>
        <w:t>"</w:t>
      </w:r>
      <w:r w:rsidRPr="007752B0">
        <w:rPr>
          <w:rFonts w:hint="cs"/>
          <w:b/>
          <w:bCs/>
          <w:rtl/>
        </w:rPr>
        <w:t xml:space="preserve"> </w:t>
      </w:r>
    </w:p>
    <w:p w:rsidR="007752B0" w:rsidRDefault="007752B0" w:rsidP="007752B0">
      <w:pPr>
        <w:pStyle w:val="ad"/>
        <w:rPr>
          <w:rFonts w:ascii="Arial" w:hAnsi="Arial"/>
          <w:noProof w:val="0"/>
          <w:rtl/>
        </w:rPr>
      </w:pPr>
    </w:p>
    <w:p w:rsidR="007752B0" w:rsidRDefault="007752B0" w:rsidP="007752B0">
      <w:pPr>
        <w:pStyle w:val="ad"/>
        <w:rPr>
          <w:rFonts w:ascii="Arial" w:hAnsi="Arial"/>
          <w:noProof w:val="0"/>
          <w:rtl/>
        </w:rPr>
      </w:pPr>
    </w:p>
    <w:p w:rsidR="00FA1DB5" w:rsidRPr="00C42C0F" w:rsidRDefault="007752B0" w:rsidP="00FD6A3E">
      <w:pPr>
        <w:numPr>
          <w:ilvl w:val="0"/>
          <w:numId w:val="1"/>
        </w:numPr>
        <w:spacing w:after="160" w:line="360" w:lineRule="auto"/>
        <w:contextualSpacing/>
        <w:jc w:val="both"/>
        <w:rPr>
          <w:rFonts w:ascii="David" w:hAnsi="David"/>
          <w:noProof w:val="0"/>
        </w:rPr>
      </w:pPr>
      <w:r>
        <w:rPr>
          <w:rFonts w:ascii="David" w:hAnsi="David" w:hint="cs"/>
          <w:noProof w:val="0"/>
          <w:rtl/>
        </w:rPr>
        <w:t>ביום 14/5/14 הגישו הצדדים הודעה ו</w:t>
      </w:r>
      <w:r w:rsidR="00C42C0F">
        <w:rPr>
          <w:rFonts w:ascii="David" w:hAnsi="David" w:hint="cs"/>
          <w:noProof w:val="0"/>
          <w:rtl/>
        </w:rPr>
        <w:t xml:space="preserve">בקשה למתן פסק דין, על יסוד אותן עקרונות, ובראש, כי צוואת המנוחה תקוים.  </w:t>
      </w:r>
      <w:r w:rsidR="00FA1DB5" w:rsidRPr="00C42C0F">
        <w:rPr>
          <w:rFonts w:ascii="Arial" w:hAnsi="Arial"/>
          <w:noProof w:val="0"/>
          <w:rtl/>
        </w:rPr>
        <w:t xml:space="preserve">ביום </w:t>
      </w:r>
      <w:r w:rsidR="00C42C0F">
        <w:rPr>
          <w:rFonts w:ascii="Arial" w:hAnsi="Arial"/>
          <w:noProof w:val="0"/>
          <w:rtl/>
        </w:rPr>
        <w:t>15.6.14</w:t>
      </w:r>
      <w:r w:rsidR="00C42C0F">
        <w:rPr>
          <w:rFonts w:ascii="Arial" w:hAnsi="Arial" w:hint="cs"/>
          <w:noProof w:val="0"/>
          <w:rtl/>
        </w:rPr>
        <w:t xml:space="preserve">  </w:t>
      </w:r>
      <w:r w:rsidR="00FA1DB5" w:rsidRPr="00C42C0F">
        <w:rPr>
          <w:rFonts w:ascii="Arial" w:hAnsi="Arial"/>
          <w:noProof w:val="0"/>
          <w:rtl/>
        </w:rPr>
        <w:t>ניתן לה</w:t>
      </w:r>
      <w:r w:rsidR="00C42C0F">
        <w:rPr>
          <w:rFonts w:ascii="Arial" w:hAnsi="Arial" w:hint="cs"/>
          <w:noProof w:val="0"/>
          <w:rtl/>
        </w:rPr>
        <w:t xml:space="preserve">סכמות תוקף של </w:t>
      </w:r>
      <w:r w:rsidR="00FA1DB5" w:rsidRPr="00C42C0F">
        <w:rPr>
          <w:rFonts w:ascii="Arial" w:hAnsi="Arial"/>
          <w:noProof w:val="0"/>
          <w:rtl/>
        </w:rPr>
        <w:t>פסק דין</w:t>
      </w:r>
      <w:r w:rsidR="00C42C0F">
        <w:rPr>
          <w:rFonts w:ascii="Arial" w:hAnsi="Arial" w:hint="cs"/>
          <w:noProof w:val="0"/>
          <w:rtl/>
        </w:rPr>
        <w:t xml:space="preserve">. </w:t>
      </w:r>
      <w:r w:rsidR="00FD6A3E">
        <w:rPr>
          <w:rFonts w:ascii="Arial" w:hAnsi="Arial" w:hint="cs"/>
          <w:noProof w:val="0"/>
          <w:rtl/>
        </w:rPr>
        <w:t xml:space="preserve"> בהתאם ל</w:t>
      </w:r>
      <w:r w:rsidR="00FA1DB5" w:rsidRPr="00C42C0F">
        <w:rPr>
          <w:rFonts w:ascii="Arial" w:hAnsi="Arial"/>
          <w:noProof w:val="0"/>
          <w:rtl/>
        </w:rPr>
        <w:t>הסכמות</w:t>
      </w:r>
      <w:r w:rsidR="00FD6A3E">
        <w:rPr>
          <w:rFonts w:ascii="Arial" w:hAnsi="Arial" w:hint="cs"/>
          <w:noProof w:val="0"/>
          <w:rtl/>
        </w:rPr>
        <w:t xml:space="preserve">, </w:t>
      </w:r>
      <w:r w:rsidR="00FA1DB5" w:rsidRPr="00C42C0F">
        <w:rPr>
          <w:rFonts w:ascii="Arial" w:hAnsi="Arial"/>
          <w:noProof w:val="0"/>
          <w:rtl/>
        </w:rPr>
        <w:t xml:space="preserve">פסק הדין </w:t>
      </w:r>
      <w:r w:rsidR="00FD6A3E">
        <w:rPr>
          <w:rFonts w:ascii="Arial" w:hAnsi="Arial" w:hint="cs"/>
          <w:noProof w:val="0"/>
          <w:rtl/>
        </w:rPr>
        <w:t xml:space="preserve">שניתן על ידי בית המשפט למשפחה ביום 21/5/23 </w:t>
      </w:r>
      <w:r w:rsidR="00FD6A3E">
        <w:rPr>
          <w:rFonts w:ascii="Arial" w:hAnsi="Arial"/>
          <w:noProof w:val="0"/>
          <w:rtl/>
        </w:rPr>
        <w:t>בת"ע 7938-02-10</w:t>
      </w:r>
      <w:r w:rsidR="00FD6A3E">
        <w:rPr>
          <w:rFonts w:ascii="Arial" w:hAnsi="Arial" w:hint="cs"/>
          <w:noProof w:val="0"/>
          <w:rtl/>
        </w:rPr>
        <w:t xml:space="preserve"> בוטל, </w:t>
      </w:r>
      <w:r w:rsidR="00FA1DB5" w:rsidRPr="00C42C0F">
        <w:rPr>
          <w:rFonts w:ascii="Arial" w:hAnsi="Arial"/>
          <w:noProof w:val="0"/>
          <w:rtl/>
        </w:rPr>
        <w:t>וניתן צו לקיום צוואת המנוחה ללא התשריט שצורף אליו מלכתחילה.</w:t>
      </w:r>
    </w:p>
    <w:p w:rsidR="007752B0" w:rsidRDefault="007752B0" w:rsidP="007752B0">
      <w:pPr>
        <w:pStyle w:val="ad"/>
        <w:rPr>
          <w:rFonts w:ascii="David" w:hAnsi="David"/>
          <w:noProof w:val="0"/>
          <w:rtl/>
        </w:rPr>
      </w:pPr>
    </w:p>
    <w:p w:rsidR="00FA1DB5" w:rsidRPr="00FA1DB5" w:rsidRDefault="00FD6A3E" w:rsidP="003A04EA">
      <w:pPr>
        <w:numPr>
          <w:ilvl w:val="0"/>
          <w:numId w:val="1"/>
        </w:numPr>
        <w:spacing w:after="160" w:line="360" w:lineRule="auto"/>
        <w:contextualSpacing/>
        <w:jc w:val="both"/>
        <w:rPr>
          <w:rFonts w:ascii="David" w:hAnsi="David"/>
          <w:noProof w:val="0"/>
          <w:rtl/>
        </w:rPr>
      </w:pPr>
      <w:r>
        <w:rPr>
          <w:rFonts w:ascii="Arial" w:hAnsi="Arial" w:hint="cs"/>
          <w:noProof w:val="0"/>
          <w:rtl/>
        </w:rPr>
        <w:t xml:space="preserve">במסגרת הערעור [עמ"ש 7009-09-13], הגישה </w:t>
      </w:r>
      <w:r w:rsidR="00474E6D">
        <w:rPr>
          <w:rFonts w:ascii="Arial" w:hAnsi="Arial"/>
          <w:noProof w:val="0"/>
          <w:rtl/>
        </w:rPr>
        <w:t>אלמונית 1</w:t>
      </w:r>
      <w:r w:rsidR="00FA1DB5" w:rsidRPr="00FA1DB5">
        <w:rPr>
          <w:rFonts w:ascii="Arial" w:hAnsi="Arial"/>
          <w:noProof w:val="0"/>
          <w:rtl/>
        </w:rPr>
        <w:t xml:space="preserve"> מספר בקשות: </w:t>
      </w:r>
      <w:r>
        <w:rPr>
          <w:rFonts w:ascii="Arial" w:hAnsi="Arial" w:hint="cs"/>
          <w:noProof w:val="0"/>
          <w:rtl/>
        </w:rPr>
        <w:t xml:space="preserve"> </w:t>
      </w:r>
      <w:r w:rsidR="00FA1DB5" w:rsidRPr="00FA1DB5">
        <w:rPr>
          <w:rFonts w:ascii="Arial" w:hAnsi="Arial"/>
          <w:noProof w:val="0"/>
          <w:rtl/>
        </w:rPr>
        <w:t>ביום 16.6.14 הוגשה בקשה לעכב את ההחלטה בעניין עיזבון המנוחה</w:t>
      </w:r>
      <w:r>
        <w:rPr>
          <w:rFonts w:ascii="Arial" w:hAnsi="Arial" w:hint="cs"/>
          <w:noProof w:val="0"/>
          <w:rtl/>
        </w:rPr>
        <w:t xml:space="preserve">.  </w:t>
      </w:r>
      <w:r w:rsidR="00FA1DB5" w:rsidRPr="00FA1DB5">
        <w:rPr>
          <w:rFonts w:ascii="Arial" w:hAnsi="Arial"/>
          <w:noProof w:val="0"/>
          <w:rtl/>
        </w:rPr>
        <w:t xml:space="preserve">הבקשה נדחתה ביום 18.6.14. לאחר </w:t>
      </w:r>
      <w:r>
        <w:rPr>
          <w:rFonts w:ascii="Arial" w:hAnsi="Arial" w:hint="cs"/>
          <w:noProof w:val="0"/>
          <w:rtl/>
        </w:rPr>
        <w:t xml:space="preserve">שניתן </w:t>
      </w:r>
      <w:r w:rsidR="00FA1DB5" w:rsidRPr="00FA1DB5">
        <w:rPr>
          <w:rFonts w:ascii="Arial" w:hAnsi="Arial"/>
          <w:noProof w:val="0"/>
          <w:rtl/>
        </w:rPr>
        <w:t>פסק הדין על ידי בית המשפט המחוזי</w:t>
      </w:r>
      <w:r>
        <w:rPr>
          <w:rFonts w:ascii="Arial" w:hAnsi="Arial" w:hint="cs"/>
          <w:noProof w:val="0"/>
          <w:rtl/>
        </w:rPr>
        <w:t xml:space="preserve">, </w:t>
      </w:r>
      <w:r w:rsidR="00FA1DB5" w:rsidRPr="00FA1DB5">
        <w:rPr>
          <w:rFonts w:ascii="Arial" w:hAnsi="Arial"/>
          <w:noProof w:val="0"/>
          <w:rtl/>
        </w:rPr>
        <w:t xml:space="preserve"> הגישה </w:t>
      </w:r>
      <w:r w:rsidR="00474E6D">
        <w:rPr>
          <w:rFonts w:ascii="Arial" w:hAnsi="Arial" w:hint="cs"/>
          <w:noProof w:val="0"/>
          <w:rtl/>
        </w:rPr>
        <w:t>אלמונית 1</w:t>
      </w:r>
      <w:r>
        <w:rPr>
          <w:rFonts w:ascii="Arial" w:hAnsi="Arial" w:hint="cs"/>
          <w:noProof w:val="0"/>
          <w:rtl/>
        </w:rPr>
        <w:t xml:space="preserve"> </w:t>
      </w:r>
      <w:r w:rsidR="00FA1DB5" w:rsidRPr="00FA1DB5">
        <w:rPr>
          <w:rFonts w:ascii="Arial" w:hAnsi="Arial"/>
          <w:noProof w:val="0"/>
          <w:rtl/>
        </w:rPr>
        <w:t>מספר בקשות לעיון בתיק</w:t>
      </w:r>
      <w:r w:rsidR="003A04EA">
        <w:rPr>
          <w:rFonts w:ascii="Arial" w:hAnsi="Arial" w:hint="cs"/>
          <w:noProof w:val="0"/>
          <w:rtl/>
        </w:rPr>
        <w:t>, ו</w:t>
      </w:r>
      <w:r w:rsidR="00FA1DB5" w:rsidRPr="00FA1DB5">
        <w:rPr>
          <w:rFonts w:ascii="Arial" w:hAnsi="Arial"/>
          <w:noProof w:val="0"/>
          <w:rtl/>
        </w:rPr>
        <w:t xml:space="preserve">בהחלטה </w:t>
      </w:r>
      <w:r w:rsidR="003A04EA">
        <w:rPr>
          <w:rFonts w:ascii="Arial" w:hAnsi="Arial" w:hint="cs"/>
          <w:noProof w:val="0"/>
          <w:rtl/>
        </w:rPr>
        <w:t xml:space="preserve">שניתנה ביום </w:t>
      </w:r>
      <w:r w:rsidR="00FA1DB5" w:rsidRPr="00FA1DB5">
        <w:rPr>
          <w:rFonts w:ascii="Arial" w:hAnsi="Arial"/>
          <w:noProof w:val="0"/>
          <w:rtl/>
        </w:rPr>
        <w:t xml:space="preserve"> 6.6.16 התיר </w:t>
      </w:r>
      <w:r>
        <w:rPr>
          <w:rFonts w:ascii="Arial" w:hAnsi="Arial" w:hint="cs"/>
          <w:noProof w:val="0"/>
          <w:rtl/>
        </w:rPr>
        <w:t>בית המשפט ל</w:t>
      </w:r>
      <w:r w:rsidR="00474E6D">
        <w:rPr>
          <w:rFonts w:ascii="Arial" w:hAnsi="Arial" w:hint="cs"/>
          <w:noProof w:val="0"/>
          <w:rtl/>
        </w:rPr>
        <w:t>אלמונית 1</w:t>
      </w:r>
      <w:r>
        <w:rPr>
          <w:rFonts w:ascii="Arial" w:hAnsi="Arial" w:hint="cs"/>
          <w:noProof w:val="0"/>
          <w:rtl/>
        </w:rPr>
        <w:t xml:space="preserve"> </w:t>
      </w:r>
      <w:r w:rsidR="00FA1DB5" w:rsidRPr="00FA1DB5">
        <w:rPr>
          <w:rFonts w:ascii="Arial" w:hAnsi="Arial"/>
          <w:noProof w:val="0"/>
          <w:rtl/>
        </w:rPr>
        <w:t>לעיין בתיק.</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3A04EA">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 ביום 3.8.16 הגישה </w:t>
      </w:r>
      <w:r w:rsidR="00474E6D">
        <w:rPr>
          <w:rFonts w:ascii="Arial" w:hAnsi="Arial"/>
          <w:noProof w:val="0"/>
          <w:rtl/>
        </w:rPr>
        <w:t>אלמונית 1</w:t>
      </w:r>
      <w:r w:rsidRPr="00FA1DB5">
        <w:rPr>
          <w:rFonts w:ascii="Arial" w:hAnsi="Arial"/>
          <w:noProof w:val="0"/>
          <w:rtl/>
        </w:rPr>
        <w:t xml:space="preserve"> תביעה חדשה במסגרת ת"ע 7663-08-16 בגדרה</w:t>
      </w:r>
      <w:r w:rsidRPr="00FA1DB5">
        <w:rPr>
          <w:rFonts w:ascii="David" w:eastAsia="Calibri" w:hAnsi="David"/>
          <w:noProof w:val="0"/>
          <w:rtl/>
        </w:rPr>
        <w:t xml:space="preserve"> עתרה לסעד הצהרתי, לפיו צוואת המנוחה בטלה, וכי פסק הדין</w:t>
      </w:r>
      <w:r w:rsidRPr="00FA1DB5">
        <w:rPr>
          <w:rFonts w:ascii="Arial" w:hAnsi="Arial"/>
          <w:noProof w:val="0"/>
          <w:rtl/>
        </w:rPr>
        <w:t xml:space="preserve"> </w:t>
      </w:r>
      <w:r w:rsidRPr="00FA1DB5">
        <w:rPr>
          <w:rFonts w:ascii="David" w:eastAsia="Calibri" w:hAnsi="David"/>
          <w:noProof w:val="0"/>
          <w:rtl/>
        </w:rPr>
        <w:t>בת"ע 7938-02-10,  מיום 21.5.2013  עומד על כנו. ביום 8.11.2016 בית המשפט לענייני משפחה</w:t>
      </w:r>
      <w:r w:rsidR="003A04EA">
        <w:rPr>
          <w:rFonts w:ascii="David" w:eastAsia="Calibri" w:hAnsi="David" w:hint="cs"/>
          <w:noProof w:val="0"/>
          <w:rtl/>
        </w:rPr>
        <w:t xml:space="preserve">, כב' הש' ברגר, </w:t>
      </w:r>
      <w:r w:rsidRPr="00FA1DB5">
        <w:rPr>
          <w:rFonts w:ascii="David" w:eastAsia="Calibri" w:hAnsi="David"/>
          <w:noProof w:val="0"/>
          <w:rtl/>
        </w:rPr>
        <w:t>דחה את התביעה (</w:t>
      </w:r>
      <w:r w:rsidR="003A04EA">
        <w:rPr>
          <w:rFonts w:ascii="David" w:eastAsia="Calibri" w:hAnsi="David" w:hint="cs"/>
          <w:noProof w:val="0"/>
          <w:rtl/>
        </w:rPr>
        <w:t xml:space="preserve">בנימוק כי </w:t>
      </w:r>
      <w:r w:rsidRPr="00FA1DB5">
        <w:rPr>
          <w:rFonts w:ascii="David" w:eastAsia="Calibri" w:hAnsi="David"/>
          <w:noProof w:val="0"/>
          <w:rtl/>
        </w:rPr>
        <w:t>ה</w:t>
      </w:r>
      <w:r w:rsidR="003A04EA">
        <w:rPr>
          <w:rFonts w:ascii="David" w:eastAsia="Calibri" w:hAnsi="David" w:hint="cs"/>
          <w:noProof w:val="0"/>
          <w:rtl/>
        </w:rPr>
        <w:t xml:space="preserve">סעד שהתבקש </w:t>
      </w:r>
      <w:r w:rsidRPr="00FA1DB5">
        <w:rPr>
          <w:rFonts w:ascii="David" w:eastAsia="Calibri" w:hAnsi="David"/>
          <w:noProof w:val="0"/>
          <w:rtl/>
        </w:rPr>
        <w:t>אינו מצוי בסמכותו).</w:t>
      </w:r>
    </w:p>
    <w:p w:rsidR="00FA1DB5" w:rsidRPr="00FA1DB5" w:rsidRDefault="00FA1DB5" w:rsidP="00FA1DB5">
      <w:pPr>
        <w:spacing w:after="160" w:line="256" w:lineRule="auto"/>
        <w:ind w:left="720"/>
        <w:contextualSpacing/>
        <w:rPr>
          <w:rFonts w:ascii="David" w:eastAsia="Calibri" w:hAnsi="David"/>
          <w:noProof w:val="0"/>
        </w:rPr>
      </w:pPr>
    </w:p>
    <w:p w:rsidR="00FA1DB5" w:rsidRPr="00FA1DB5" w:rsidRDefault="00FA1DB5" w:rsidP="00B011B6">
      <w:pPr>
        <w:numPr>
          <w:ilvl w:val="0"/>
          <w:numId w:val="1"/>
        </w:numPr>
        <w:spacing w:after="160" w:line="360" w:lineRule="auto"/>
        <w:contextualSpacing/>
        <w:jc w:val="both"/>
        <w:rPr>
          <w:rFonts w:ascii="Arial" w:hAnsi="Arial"/>
          <w:noProof w:val="0"/>
          <w:rtl/>
        </w:rPr>
      </w:pPr>
      <w:r w:rsidRPr="00FA1DB5">
        <w:rPr>
          <w:rFonts w:ascii="David" w:eastAsia="Calibri" w:hAnsi="David"/>
          <w:noProof w:val="0"/>
          <w:rtl/>
        </w:rPr>
        <w:t xml:space="preserve"> על פסק הדין הנ"ל</w:t>
      </w:r>
      <w:r w:rsidRPr="00FA1DB5">
        <w:rPr>
          <w:rFonts w:ascii="Arial" w:hAnsi="Arial"/>
          <w:noProof w:val="0"/>
          <w:rtl/>
        </w:rPr>
        <w:t xml:space="preserve"> </w:t>
      </w:r>
      <w:r w:rsidRPr="00FA1DB5">
        <w:rPr>
          <w:rFonts w:ascii="David" w:eastAsia="Calibri" w:hAnsi="David"/>
          <w:noProof w:val="0"/>
          <w:rtl/>
        </w:rPr>
        <w:t xml:space="preserve">בת"ע 7663-08-16  מיום 8.11.2016  </w:t>
      </w:r>
      <w:r w:rsidRPr="00FA1DB5">
        <w:rPr>
          <w:rFonts w:ascii="Arial" w:hAnsi="Arial"/>
          <w:noProof w:val="0"/>
          <w:rtl/>
        </w:rPr>
        <w:t xml:space="preserve">הגישה </w:t>
      </w:r>
      <w:r w:rsidR="00474E6D">
        <w:rPr>
          <w:rFonts w:ascii="Arial" w:hAnsi="Arial"/>
          <w:noProof w:val="0"/>
          <w:rtl/>
        </w:rPr>
        <w:t>אלמונית 1</w:t>
      </w:r>
      <w:r w:rsidRPr="00FA1DB5">
        <w:rPr>
          <w:rFonts w:ascii="Arial" w:hAnsi="Arial"/>
          <w:noProof w:val="0"/>
          <w:rtl/>
        </w:rPr>
        <w:t xml:space="preserve"> ערעור הנידון במסגרת עמ"ש 43272-12-16. בדיון שהתקיים בפני הרכב המחוזי ביום 26.9.17 ניתן פסק הדין המורה על דחיית הערעור ללא צו להוצאות.</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3A04EA">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לצד ההליכים הנ"ל הגישה </w:t>
      </w:r>
      <w:r w:rsidR="00474E6D">
        <w:rPr>
          <w:rFonts w:ascii="Arial" w:hAnsi="Arial"/>
          <w:noProof w:val="0"/>
          <w:rtl/>
        </w:rPr>
        <w:t>אלמונית 1</w:t>
      </w:r>
      <w:r w:rsidRPr="00FA1DB5">
        <w:rPr>
          <w:rFonts w:ascii="Arial" w:hAnsi="Arial"/>
          <w:noProof w:val="0"/>
          <w:rtl/>
        </w:rPr>
        <w:t xml:space="preserve"> תביעה למינוי מנהל עיזבון</w:t>
      </w:r>
      <w:r w:rsidR="003A04EA">
        <w:rPr>
          <w:rFonts w:ascii="Arial" w:hAnsi="Arial" w:hint="cs"/>
          <w:noProof w:val="0"/>
          <w:rtl/>
        </w:rPr>
        <w:t xml:space="preserve">, </w:t>
      </w:r>
      <w:r w:rsidR="003A04EA">
        <w:rPr>
          <w:rFonts w:ascii="Arial" w:hAnsi="Arial"/>
          <w:noProof w:val="0"/>
          <w:rtl/>
        </w:rPr>
        <w:t>ת"ע 4492-07-15</w:t>
      </w:r>
      <w:r w:rsidR="003A04EA">
        <w:rPr>
          <w:rFonts w:ascii="Arial" w:hAnsi="Arial" w:hint="cs"/>
          <w:noProof w:val="0"/>
          <w:rtl/>
        </w:rPr>
        <w:t xml:space="preserve">, תביעה </w:t>
      </w:r>
      <w:r w:rsidRPr="00FA1DB5">
        <w:rPr>
          <w:rFonts w:ascii="Arial" w:hAnsi="Arial"/>
          <w:noProof w:val="0"/>
          <w:rtl/>
        </w:rPr>
        <w:t xml:space="preserve">שנמחקה ללא צו להוצאות לאור בקשת </w:t>
      </w:r>
      <w:r w:rsidR="00474E6D">
        <w:rPr>
          <w:rFonts w:ascii="Arial" w:hAnsi="Arial"/>
          <w:noProof w:val="0"/>
          <w:rtl/>
        </w:rPr>
        <w:t>אלמונית 1</w:t>
      </w:r>
      <w:r w:rsidRPr="00FA1DB5">
        <w:rPr>
          <w:rFonts w:ascii="Arial" w:hAnsi="Arial"/>
          <w:noProof w:val="0"/>
          <w:rtl/>
        </w:rPr>
        <w:t xml:space="preserve"> לאחר דיון ומס' בקשות שהוגשו.</w:t>
      </w:r>
    </w:p>
    <w:p w:rsidR="00FA1DB5" w:rsidRPr="00FA1DB5" w:rsidRDefault="00FA1DB5" w:rsidP="00FA1DB5">
      <w:pPr>
        <w:spacing w:after="160" w:line="256" w:lineRule="auto"/>
        <w:ind w:left="720"/>
        <w:contextualSpacing/>
        <w:rPr>
          <w:rFonts w:ascii="Arial" w:hAnsi="Arial"/>
          <w:noProof w:val="0"/>
        </w:rPr>
      </w:pPr>
    </w:p>
    <w:p w:rsidR="00FA1DB5" w:rsidRPr="00B011B6" w:rsidRDefault="00FA1DB5" w:rsidP="00830C56">
      <w:pPr>
        <w:numPr>
          <w:ilvl w:val="0"/>
          <w:numId w:val="1"/>
        </w:numPr>
        <w:spacing w:after="160" w:line="360" w:lineRule="auto"/>
        <w:contextualSpacing/>
        <w:jc w:val="both"/>
        <w:rPr>
          <w:rFonts w:ascii="Arial" w:hAnsi="Arial"/>
          <w:b/>
          <w:bCs/>
          <w:noProof w:val="0"/>
          <w:u w:val="single"/>
          <w:rtl/>
        </w:rPr>
      </w:pPr>
      <w:r w:rsidRPr="00830C56">
        <w:rPr>
          <w:rFonts w:ascii="Arial" w:hAnsi="Arial"/>
          <w:noProof w:val="0"/>
          <w:rtl/>
        </w:rPr>
        <w:t xml:space="preserve">ביום 5.11.2017 הגישה </w:t>
      </w:r>
      <w:r w:rsidR="00474E6D">
        <w:rPr>
          <w:rFonts w:ascii="Arial" w:hAnsi="Arial"/>
          <w:noProof w:val="0"/>
          <w:rtl/>
        </w:rPr>
        <w:t>אלמונית 1</w:t>
      </w:r>
      <w:r w:rsidRPr="00830C56">
        <w:rPr>
          <w:rFonts w:ascii="Arial" w:hAnsi="Arial"/>
          <w:noProof w:val="0"/>
          <w:rtl/>
        </w:rPr>
        <w:t xml:space="preserve"> תביעה נוספת בבית המשפט המחוזי – ת"א 10122-11-17.</w:t>
      </w:r>
      <w:r w:rsidRPr="00FA1DB5">
        <w:rPr>
          <w:rFonts w:ascii="Arial" w:hAnsi="Arial"/>
          <w:noProof w:val="0"/>
          <w:rtl/>
        </w:rPr>
        <w:t xml:space="preserve"> במסגרתה עתרה לביטול פסק הדין של בית המשפט המחוזי בעמ"ש 7009-09-13 אשר אישר את הסכמת </w:t>
      </w:r>
      <w:r w:rsidR="00474E6D">
        <w:rPr>
          <w:rFonts w:ascii="Arial" w:hAnsi="Arial"/>
          <w:noProof w:val="0"/>
          <w:rtl/>
        </w:rPr>
        <w:t>אלמוני</w:t>
      </w:r>
      <w:r w:rsidRPr="00FA1DB5">
        <w:rPr>
          <w:rFonts w:ascii="Arial" w:hAnsi="Arial"/>
          <w:noProof w:val="0"/>
          <w:rtl/>
        </w:rPr>
        <w:t xml:space="preserve"> ו</w:t>
      </w:r>
      <w:r w:rsidR="00474E6D">
        <w:rPr>
          <w:rFonts w:ascii="Arial" w:hAnsi="Arial"/>
          <w:noProof w:val="0"/>
          <w:rtl/>
        </w:rPr>
        <w:t>פלוני</w:t>
      </w:r>
      <w:r w:rsidR="00830C56">
        <w:rPr>
          <w:rFonts w:ascii="Arial" w:hAnsi="Arial" w:hint="cs"/>
          <w:noProof w:val="0"/>
          <w:rtl/>
        </w:rPr>
        <w:t>,</w:t>
      </w:r>
      <w:r w:rsidRPr="00FA1DB5">
        <w:rPr>
          <w:rFonts w:ascii="Arial" w:hAnsi="Arial"/>
          <w:noProof w:val="0"/>
          <w:rtl/>
        </w:rPr>
        <w:t xml:space="preserve"> ובקשה לה</w:t>
      </w:r>
      <w:r w:rsidR="00830C56">
        <w:rPr>
          <w:rFonts w:ascii="Arial" w:hAnsi="Arial" w:hint="cs"/>
          <w:noProof w:val="0"/>
          <w:rtl/>
        </w:rPr>
        <w:t xml:space="preserve">שיב על כנו את </w:t>
      </w:r>
      <w:r w:rsidRPr="00FA1DB5">
        <w:rPr>
          <w:rFonts w:ascii="Arial" w:hAnsi="Arial"/>
          <w:noProof w:val="0"/>
          <w:rtl/>
        </w:rPr>
        <w:t xml:space="preserve">פסק הדין מיום  21.5.13 שניתן ע"י </w:t>
      </w:r>
      <w:r w:rsidR="00830C56">
        <w:rPr>
          <w:rFonts w:ascii="Arial" w:hAnsi="Arial" w:hint="cs"/>
          <w:noProof w:val="0"/>
          <w:rtl/>
        </w:rPr>
        <w:t xml:space="preserve">כב' הש' ברגר, </w:t>
      </w:r>
      <w:r w:rsidR="00830C56">
        <w:rPr>
          <w:rFonts w:ascii="Arial" w:hAnsi="Arial"/>
          <w:noProof w:val="0"/>
          <w:rtl/>
        </w:rPr>
        <w:t>בת"ע 7938-02-10</w:t>
      </w:r>
      <w:r w:rsidR="00830C56">
        <w:rPr>
          <w:rFonts w:ascii="Arial" w:hAnsi="Arial" w:hint="cs"/>
          <w:noProof w:val="0"/>
          <w:rtl/>
        </w:rPr>
        <w:t xml:space="preserve">, </w:t>
      </w:r>
      <w:r w:rsidRPr="00FA1DB5">
        <w:rPr>
          <w:rFonts w:ascii="Arial" w:hAnsi="Arial"/>
          <w:noProof w:val="0"/>
          <w:rtl/>
        </w:rPr>
        <w:t xml:space="preserve">אשר קבע למעשה שצוואת המנוחה </w:t>
      </w:r>
      <w:r w:rsidRPr="00FA1DB5">
        <w:rPr>
          <w:rFonts w:ascii="Arial" w:hAnsi="Arial"/>
          <w:b/>
          <w:bCs/>
          <w:noProof w:val="0"/>
          <w:u w:val="single"/>
          <w:rtl/>
        </w:rPr>
        <w:t>אינה בתוקף</w:t>
      </w:r>
      <w:r w:rsidRPr="00FA1DB5">
        <w:rPr>
          <w:rFonts w:ascii="Arial" w:hAnsi="Arial"/>
          <w:noProof w:val="0"/>
          <w:rtl/>
        </w:rPr>
        <w:t xml:space="preserve"> מכוח סעיף 35 לחוק הירושה.</w:t>
      </w:r>
      <w:r w:rsidR="00830C56">
        <w:rPr>
          <w:rFonts w:ascii="Arial" w:hAnsi="Arial" w:hint="cs"/>
          <w:noProof w:val="0"/>
          <w:rtl/>
        </w:rPr>
        <w:t xml:space="preserve">  </w:t>
      </w:r>
      <w:r w:rsidRPr="00830C56">
        <w:rPr>
          <w:rFonts w:ascii="Arial" w:hAnsi="Arial"/>
          <w:noProof w:val="0"/>
          <w:rtl/>
        </w:rPr>
        <w:t>ביום 14.2.19 ניתן פסק דין</w:t>
      </w:r>
      <w:r w:rsidR="00830C56">
        <w:rPr>
          <w:rFonts w:ascii="Arial" w:hAnsi="Arial" w:hint="cs"/>
          <w:noProof w:val="0"/>
          <w:rtl/>
        </w:rPr>
        <w:t xml:space="preserve">, במסגרתו, הורה בית המשפט המחוזי, על מחיקת התביעה, </w:t>
      </w:r>
      <w:r w:rsidRPr="00B011B6">
        <w:rPr>
          <w:rFonts w:ascii="Arial" w:hAnsi="Arial"/>
          <w:b/>
          <w:bCs/>
          <w:noProof w:val="0"/>
          <w:u w:val="single"/>
          <w:rtl/>
        </w:rPr>
        <w:t>ולמעשה</w:t>
      </w:r>
      <w:r w:rsidR="00830C56" w:rsidRPr="00B011B6">
        <w:rPr>
          <w:rFonts w:ascii="Arial" w:hAnsi="Arial" w:hint="cs"/>
          <w:b/>
          <w:bCs/>
          <w:noProof w:val="0"/>
          <w:u w:val="single"/>
          <w:rtl/>
        </w:rPr>
        <w:t xml:space="preserve">, </w:t>
      </w:r>
      <w:r w:rsidRPr="00B011B6">
        <w:rPr>
          <w:rFonts w:ascii="Arial" w:hAnsi="Arial"/>
          <w:b/>
          <w:bCs/>
          <w:noProof w:val="0"/>
          <w:u w:val="single"/>
          <w:rtl/>
        </w:rPr>
        <w:t xml:space="preserve"> הנחה את </w:t>
      </w:r>
      <w:r w:rsidR="00474E6D">
        <w:rPr>
          <w:rFonts w:ascii="Arial" w:hAnsi="Arial"/>
          <w:b/>
          <w:bCs/>
          <w:noProof w:val="0"/>
          <w:u w:val="single"/>
          <w:rtl/>
        </w:rPr>
        <w:t>אלמונית 1</w:t>
      </w:r>
      <w:r w:rsidRPr="00B011B6">
        <w:rPr>
          <w:rFonts w:ascii="Arial" w:hAnsi="Arial"/>
          <w:b/>
          <w:bCs/>
          <w:noProof w:val="0"/>
          <w:u w:val="single"/>
          <w:rtl/>
        </w:rPr>
        <w:t xml:space="preserve"> לפעול בגדרי ס' 72 לחוק הירושה בפני בית משפט זה - בית המשפט המוסמך.</w:t>
      </w:r>
    </w:p>
    <w:p w:rsidR="00FA1DB5" w:rsidRPr="00FA1DB5" w:rsidRDefault="00FA1DB5" w:rsidP="00FA1DB5">
      <w:pPr>
        <w:spacing w:line="360" w:lineRule="auto"/>
        <w:ind w:left="720"/>
        <w:contextualSpacing/>
        <w:jc w:val="both"/>
        <w:rPr>
          <w:rFonts w:ascii="Arial" w:hAnsi="Arial"/>
          <w:noProof w:val="0"/>
        </w:rPr>
      </w:pPr>
    </w:p>
    <w:p w:rsidR="00AF1EC3" w:rsidRPr="00AF1EC3" w:rsidRDefault="00FA1DB5" w:rsidP="00AF1EC3">
      <w:pPr>
        <w:numPr>
          <w:ilvl w:val="0"/>
          <w:numId w:val="1"/>
        </w:numPr>
        <w:spacing w:after="160" w:line="360" w:lineRule="auto"/>
        <w:contextualSpacing/>
        <w:jc w:val="both"/>
        <w:rPr>
          <w:rFonts w:ascii="David" w:eastAsia="Calibri" w:hAnsi="David"/>
          <w:noProof w:val="0"/>
          <w:rtl/>
        </w:rPr>
      </w:pPr>
      <w:r w:rsidRPr="00FA1DB5">
        <w:rPr>
          <w:rFonts w:ascii="Arial" w:hAnsi="Arial"/>
          <w:noProof w:val="0"/>
          <w:rtl/>
        </w:rPr>
        <w:t xml:space="preserve">בעקבות האמור, הגישה </w:t>
      </w:r>
      <w:r w:rsidR="00474E6D">
        <w:rPr>
          <w:rFonts w:ascii="Arial" w:hAnsi="Arial"/>
          <w:noProof w:val="0"/>
          <w:rtl/>
        </w:rPr>
        <w:t>אלמונית 1</w:t>
      </w:r>
      <w:r w:rsidRPr="00FA1DB5">
        <w:rPr>
          <w:rFonts w:ascii="Arial" w:hAnsi="Arial"/>
          <w:noProof w:val="0"/>
          <w:rtl/>
        </w:rPr>
        <w:t xml:space="preserve"> תביעה נוספת</w:t>
      </w:r>
      <w:r w:rsidR="00B011B6">
        <w:rPr>
          <w:rFonts w:ascii="Arial" w:hAnsi="Arial" w:hint="cs"/>
          <w:noProof w:val="0"/>
          <w:rtl/>
        </w:rPr>
        <w:t>,</w:t>
      </w:r>
      <w:r w:rsidRPr="00FA1DB5">
        <w:rPr>
          <w:rFonts w:ascii="Arial" w:hAnsi="Arial"/>
          <w:noProof w:val="0"/>
          <w:rtl/>
        </w:rPr>
        <w:t xml:space="preserve"> לבית משפט זה</w:t>
      </w:r>
      <w:r w:rsidR="00B011B6">
        <w:rPr>
          <w:rFonts w:ascii="Arial" w:hAnsi="Arial" w:hint="cs"/>
          <w:noProof w:val="0"/>
          <w:rtl/>
        </w:rPr>
        <w:t xml:space="preserve">, בהתאם להוראות ס' 72 לחוק הירושה, </w:t>
      </w:r>
      <w:r w:rsidRPr="00FA1DB5">
        <w:rPr>
          <w:rFonts w:ascii="Arial" w:hAnsi="Arial"/>
          <w:noProof w:val="0"/>
          <w:rtl/>
        </w:rPr>
        <w:t xml:space="preserve"> במסגרת ת"ע 31165-</w:t>
      </w:r>
      <w:r w:rsidR="00AF1EC3">
        <w:rPr>
          <w:rFonts w:ascii="Arial" w:hAnsi="Arial"/>
          <w:noProof w:val="0"/>
          <w:rtl/>
        </w:rPr>
        <w:t>03-19</w:t>
      </w:r>
      <w:r w:rsidR="00AF1EC3">
        <w:rPr>
          <w:rFonts w:ascii="Arial" w:hAnsi="Arial" w:hint="cs"/>
          <w:noProof w:val="0"/>
          <w:rtl/>
        </w:rPr>
        <w:t xml:space="preserve">. </w:t>
      </w:r>
      <w:r w:rsidR="00AF1EC3">
        <w:rPr>
          <w:rFonts w:ascii="David" w:eastAsia="Calibri" w:hAnsi="David" w:hint="cs"/>
          <w:noProof w:val="0"/>
          <w:rtl/>
        </w:rPr>
        <w:t xml:space="preserve"> באותה העלתה </w:t>
      </w:r>
      <w:r w:rsidR="00474E6D">
        <w:rPr>
          <w:rFonts w:ascii="David" w:eastAsia="Calibri" w:hAnsi="David" w:hint="cs"/>
          <w:noProof w:val="0"/>
          <w:rtl/>
        </w:rPr>
        <w:t>אלמונית 1</w:t>
      </w:r>
      <w:r w:rsidR="00AF1EC3">
        <w:rPr>
          <w:rFonts w:ascii="David" w:eastAsia="Calibri" w:hAnsi="David" w:hint="cs"/>
          <w:noProof w:val="0"/>
          <w:rtl/>
        </w:rPr>
        <w:t xml:space="preserve"> שתי טענות עיקריות:  </w:t>
      </w:r>
    </w:p>
    <w:p w:rsidR="00AF1EC3" w:rsidRPr="00FA1DB5" w:rsidRDefault="00AF1EC3" w:rsidP="00AF1EC3">
      <w:pPr>
        <w:spacing w:after="160" w:line="252" w:lineRule="auto"/>
        <w:ind w:left="720"/>
        <w:contextualSpacing/>
        <w:jc w:val="both"/>
        <w:rPr>
          <w:rFonts w:ascii="David" w:eastAsia="Calibri" w:hAnsi="David"/>
          <w:noProof w:val="0"/>
        </w:rPr>
      </w:pPr>
    </w:p>
    <w:p w:rsidR="00AF1EC3" w:rsidRPr="00FA1DB5" w:rsidRDefault="00474E6D" w:rsidP="00AF1EC3">
      <w:pPr>
        <w:numPr>
          <w:ilvl w:val="0"/>
          <w:numId w:val="2"/>
        </w:numPr>
        <w:spacing w:after="160" w:line="360" w:lineRule="auto"/>
        <w:contextualSpacing/>
        <w:jc w:val="both"/>
        <w:rPr>
          <w:rFonts w:ascii="David" w:eastAsia="Calibri" w:hAnsi="David"/>
          <w:noProof w:val="0"/>
          <w:rtl/>
        </w:rPr>
      </w:pPr>
      <w:r>
        <w:rPr>
          <w:rFonts w:ascii="David" w:eastAsia="Calibri" w:hAnsi="David"/>
          <w:noProof w:val="0"/>
          <w:rtl/>
        </w:rPr>
        <w:t>אלמונית 1</w:t>
      </w:r>
      <w:r w:rsidR="00AF1EC3" w:rsidRPr="00FA1DB5">
        <w:rPr>
          <w:rFonts w:ascii="David" w:eastAsia="Calibri" w:hAnsi="David"/>
          <w:noProof w:val="0"/>
          <w:rtl/>
        </w:rPr>
        <w:t xml:space="preserve"> לא שותפה בהליכים קמא אף לא בהליכי הערעור</w:t>
      </w:r>
    </w:p>
    <w:p w:rsidR="00AF1EC3" w:rsidRPr="00FA1DB5" w:rsidRDefault="00AF1EC3" w:rsidP="00AF1EC3">
      <w:pPr>
        <w:numPr>
          <w:ilvl w:val="0"/>
          <w:numId w:val="2"/>
        </w:numPr>
        <w:spacing w:after="160" w:line="360" w:lineRule="auto"/>
        <w:contextualSpacing/>
        <w:jc w:val="both"/>
        <w:rPr>
          <w:rFonts w:ascii="David" w:eastAsia="Calibri" w:hAnsi="David"/>
          <w:noProof w:val="0"/>
        </w:rPr>
      </w:pPr>
      <w:r w:rsidRPr="00FA1DB5">
        <w:rPr>
          <w:rFonts w:ascii="David" w:eastAsia="Calibri" w:hAnsi="David"/>
          <w:noProof w:val="0"/>
          <w:rtl/>
        </w:rPr>
        <w:t>הפשרה אינה יכולה "להחיות" צוואה שאינה בהתאם לרצון המנוח</w:t>
      </w:r>
    </w:p>
    <w:p w:rsidR="00AF1EC3" w:rsidRDefault="00AF1EC3" w:rsidP="00AF1EC3">
      <w:pPr>
        <w:pStyle w:val="ad"/>
        <w:rPr>
          <w:rFonts w:ascii="Arial" w:hAnsi="Arial"/>
          <w:noProof w:val="0"/>
          <w:rtl/>
        </w:rPr>
      </w:pPr>
    </w:p>
    <w:p w:rsidR="00FA1DB5" w:rsidRDefault="00474E6D" w:rsidP="00AF1EC3">
      <w:pPr>
        <w:numPr>
          <w:ilvl w:val="0"/>
          <w:numId w:val="1"/>
        </w:numPr>
        <w:spacing w:after="160" w:line="360" w:lineRule="auto"/>
        <w:contextualSpacing/>
        <w:jc w:val="both"/>
        <w:rPr>
          <w:rFonts w:ascii="David" w:eastAsia="Calibri" w:hAnsi="David"/>
          <w:noProof w:val="0"/>
        </w:rPr>
      </w:pPr>
      <w:r>
        <w:rPr>
          <w:rFonts w:ascii="Arial" w:hAnsi="Arial" w:hint="cs"/>
          <w:noProof w:val="0"/>
          <w:rtl/>
        </w:rPr>
        <w:t>אלמוני</w:t>
      </w:r>
      <w:r w:rsidR="00AF1EC3">
        <w:rPr>
          <w:rFonts w:ascii="Arial" w:hAnsi="Arial" w:hint="cs"/>
          <w:noProof w:val="0"/>
          <w:rtl/>
        </w:rPr>
        <w:t xml:space="preserve"> ו</w:t>
      </w:r>
      <w:r>
        <w:rPr>
          <w:rFonts w:ascii="Arial" w:hAnsi="Arial" w:hint="cs"/>
          <w:noProof w:val="0"/>
          <w:rtl/>
        </w:rPr>
        <w:t>פלוני</w:t>
      </w:r>
      <w:r w:rsidR="00AF1EC3">
        <w:rPr>
          <w:rFonts w:ascii="Arial" w:hAnsi="Arial" w:hint="cs"/>
          <w:noProof w:val="0"/>
          <w:rtl/>
        </w:rPr>
        <w:t xml:space="preserve"> הגישו בקשה לסילוק על הסף, אשר הובאה להכרעתו של כב' הש' ברגר.</w:t>
      </w:r>
      <w:r w:rsidR="00AF1EC3">
        <w:rPr>
          <w:rFonts w:ascii="David" w:eastAsia="Calibri" w:hAnsi="David" w:hint="cs"/>
          <w:noProof w:val="0"/>
          <w:rtl/>
        </w:rPr>
        <w:t xml:space="preserve"> </w:t>
      </w:r>
      <w:r w:rsidR="00FA1DB5" w:rsidRPr="00AF1EC3">
        <w:rPr>
          <w:rFonts w:ascii="Arial" w:hAnsi="Arial"/>
          <w:noProof w:val="0"/>
          <w:rtl/>
        </w:rPr>
        <w:t>ביום 23.9.2019, ניתנה החלטה</w:t>
      </w:r>
      <w:r w:rsidR="00830C56" w:rsidRPr="00AF1EC3">
        <w:rPr>
          <w:rFonts w:ascii="Arial" w:hAnsi="Arial" w:hint="cs"/>
          <w:noProof w:val="0"/>
          <w:rtl/>
        </w:rPr>
        <w:t xml:space="preserve"> </w:t>
      </w:r>
      <w:r w:rsidR="00AF1EC3" w:rsidRPr="00AF1EC3">
        <w:rPr>
          <w:rFonts w:ascii="Arial" w:hAnsi="Arial" w:hint="cs"/>
          <w:noProof w:val="0"/>
          <w:rtl/>
        </w:rPr>
        <w:t>ב</w:t>
      </w:r>
      <w:r w:rsidR="00FA1DB5" w:rsidRPr="00AF1EC3">
        <w:rPr>
          <w:rFonts w:ascii="Arial" w:hAnsi="Arial"/>
          <w:noProof w:val="0"/>
          <w:rtl/>
        </w:rPr>
        <w:t>בקשה לסילוק על הסף</w:t>
      </w:r>
      <w:r w:rsidR="00AF1EC3" w:rsidRPr="00AF1EC3">
        <w:rPr>
          <w:rFonts w:ascii="Arial" w:hAnsi="Arial" w:hint="cs"/>
          <w:noProof w:val="0"/>
          <w:rtl/>
        </w:rPr>
        <w:t xml:space="preserve">.  </w:t>
      </w:r>
      <w:r w:rsidR="00AF1EC3" w:rsidRPr="00AF1EC3">
        <w:rPr>
          <w:rFonts w:ascii="David" w:eastAsia="Calibri" w:hAnsi="David" w:hint="cs"/>
          <w:noProof w:val="0"/>
          <w:rtl/>
        </w:rPr>
        <w:t xml:space="preserve">כב' הש' ברגר </w:t>
      </w:r>
      <w:r w:rsidR="00FA1DB5" w:rsidRPr="00AF1EC3">
        <w:rPr>
          <w:rFonts w:ascii="David" w:eastAsia="Calibri" w:hAnsi="David"/>
          <w:noProof w:val="0"/>
          <w:rtl/>
        </w:rPr>
        <w:t xml:space="preserve">בחן הוראות סעיף 72 לחוק </w:t>
      </w:r>
      <w:r w:rsidR="00FA1DB5" w:rsidRPr="00AF1EC3">
        <w:rPr>
          <w:rFonts w:ascii="David" w:eastAsia="Calibri" w:hAnsi="David"/>
          <w:noProof w:val="0"/>
          <w:rtl/>
        </w:rPr>
        <w:lastRenderedPageBreak/>
        <w:t xml:space="preserve">הירושה, והחילן על הצוואה אשר אושרה ע"י כב' בית המשפט המחוזי בהליך הערעור בעמ"ש 7009-09-13 . </w:t>
      </w:r>
    </w:p>
    <w:p w:rsidR="00AF1EC3" w:rsidRPr="00AF1EC3" w:rsidRDefault="00AF1EC3" w:rsidP="00AF1EC3">
      <w:pPr>
        <w:spacing w:after="160" w:line="360" w:lineRule="auto"/>
        <w:ind w:left="720"/>
        <w:contextualSpacing/>
        <w:jc w:val="both"/>
        <w:rPr>
          <w:rFonts w:ascii="David" w:eastAsia="Calibri" w:hAnsi="David"/>
          <w:noProof w:val="0"/>
          <w:rtl/>
        </w:rPr>
      </w:pPr>
    </w:p>
    <w:p w:rsidR="00E77C2F" w:rsidRPr="00E77C2F" w:rsidRDefault="00FA1DB5" w:rsidP="00B011B6">
      <w:pPr>
        <w:numPr>
          <w:ilvl w:val="0"/>
          <w:numId w:val="1"/>
        </w:numPr>
        <w:spacing w:after="160" w:line="360" w:lineRule="auto"/>
        <w:contextualSpacing/>
        <w:jc w:val="both"/>
        <w:rPr>
          <w:rFonts w:ascii="David" w:eastAsia="Calibri" w:hAnsi="David"/>
          <w:noProof w:val="0"/>
        </w:rPr>
      </w:pPr>
      <w:r w:rsidRPr="00FA1DB5">
        <w:rPr>
          <w:rFonts w:ascii="David" w:eastAsia="Calibri" w:hAnsi="David"/>
          <w:b/>
          <w:bCs/>
          <w:noProof w:val="0"/>
          <w:u w:val="single"/>
          <w:rtl/>
        </w:rPr>
        <w:t>ביחס לטענה הראשונה</w:t>
      </w:r>
      <w:r w:rsidRPr="00FA1DB5">
        <w:rPr>
          <w:rFonts w:ascii="David" w:eastAsia="Calibri" w:hAnsi="David"/>
          <w:noProof w:val="0"/>
          <w:rtl/>
        </w:rPr>
        <w:t xml:space="preserve">, </w:t>
      </w:r>
      <w:r w:rsidR="00AF1EC3">
        <w:rPr>
          <w:rFonts w:ascii="David" w:eastAsia="Calibri" w:hAnsi="David" w:hint="cs"/>
          <w:noProof w:val="0"/>
          <w:rtl/>
        </w:rPr>
        <w:t xml:space="preserve">נקבע כי </w:t>
      </w:r>
      <w:r w:rsidRPr="00FA1DB5">
        <w:rPr>
          <w:rFonts w:ascii="David" w:eastAsia="Calibri" w:hAnsi="David"/>
          <w:noProof w:val="0"/>
          <w:rtl/>
        </w:rPr>
        <w:t>חרף ה</w:t>
      </w:r>
      <w:r w:rsidR="0062472B">
        <w:rPr>
          <w:rFonts w:ascii="David" w:eastAsia="Calibri" w:hAnsi="David" w:hint="cs"/>
          <w:noProof w:val="0"/>
          <w:rtl/>
        </w:rPr>
        <w:t xml:space="preserve">צדדים להליך </w:t>
      </w:r>
      <w:r w:rsidRPr="00FA1DB5">
        <w:rPr>
          <w:rFonts w:ascii="David" w:eastAsia="Calibri" w:hAnsi="David"/>
          <w:noProof w:val="0"/>
          <w:rtl/>
        </w:rPr>
        <w:t xml:space="preserve">ההתנגדות לצוואה, </w:t>
      </w:r>
      <w:r w:rsidR="0062472B">
        <w:rPr>
          <w:rFonts w:ascii="David" w:eastAsia="Calibri" w:hAnsi="David" w:hint="cs"/>
          <w:noProof w:val="0"/>
          <w:rtl/>
        </w:rPr>
        <w:t xml:space="preserve">היו </w:t>
      </w:r>
      <w:r w:rsidRPr="00FA1DB5">
        <w:rPr>
          <w:rFonts w:ascii="David" w:eastAsia="Calibri" w:hAnsi="David"/>
          <w:noProof w:val="0"/>
          <w:rtl/>
        </w:rPr>
        <w:t>האחים הזכרים</w:t>
      </w:r>
      <w:r w:rsidR="0062472B">
        <w:rPr>
          <w:rFonts w:ascii="David" w:eastAsia="Calibri" w:hAnsi="David" w:hint="cs"/>
          <w:noProof w:val="0"/>
          <w:rtl/>
        </w:rPr>
        <w:t xml:space="preserve"> </w:t>
      </w:r>
      <w:r w:rsidRPr="00FA1DB5">
        <w:rPr>
          <w:rFonts w:ascii="David" w:eastAsia="Calibri" w:hAnsi="David"/>
          <w:noProof w:val="0"/>
          <w:rtl/>
        </w:rPr>
        <w:t xml:space="preserve">בלבד, </w:t>
      </w:r>
      <w:r w:rsidR="00474E6D">
        <w:rPr>
          <w:rFonts w:ascii="David" w:eastAsia="Calibri" w:hAnsi="David"/>
          <w:noProof w:val="0"/>
          <w:rtl/>
        </w:rPr>
        <w:t>פלוני</w:t>
      </w:r>
      <w:r w:rsidRPr="00FA1DB5">
        <w:rPr>
          <w:rFonts w:ascii="David" w:eastAsia="Calibri" w:hAnsi="David"/>
          <w:noProof w:val="0"/>
          <w:rtl/>
        </w:rPr>
        <w:t xml:space="preserve"> ו</w:t>
      </w:r>
      <w:r w:rsidR="00474E6D">
        <w:rPr>
          <w:rFonts w:ascii="David" w:eastAsia="Calibri" w:hAnsi="David"/>
          <w:noProof w:val="0"/>
          <w:rtl/>
        </w:rPr>
        <w:t>אלמוני</w:t>
      </w:r>
      <w:r w:rsidRPr="00FA1DB5">
        <w:rPr>
          <w:rFonts w:ascii="David" w:eastAsia="Calibri" w:hAnsi="David"/>
          <w:noProof w:val="0"/>
          <w:rtl/>
        </w:rPr>
        <w:t>; אין די בהעדר שיתוף בהליך כדי להביא לבטלות הבירור ותוצאותיו</w:t>
      </w:r>
      <w:r w:rsidR="00E77C2F">
        <w:rPr>
          <w:rFonts w:ascii="David" w:eastAsia="Calibri" w:hAnsi="David" w:hint="cs"/>
          <w:noProof w:val="0"/>
          <w:rtl/>
        </w:rPr>
        <w:t xml:space="preserve">.  </w:t>
      </w:r>
      <w:r w:rsidRPr="00FA1DB5">
        <w:rPr>
          <w:rFonts w:ascii="David" w:eastAsia="Calibri" w:hAnsi="David"/>
          <w:noProof w:val="0"/>
          <w:rtl/>
        </w:rPr>
        <w:t xml:space="preserve">בירור תוקף צוואה יכול להקים מעשה בי דין גם כלפי צד אשר לא נטל חלק בהליך. </w:t>
      </w:r>
      <w:r w:rsidR="00E77C2F" w:rsidRPr="00E77C2F">
        <w:rPr>
          <w:rFonts w:ascii="David" w:eastAsia="Calibri" w:hAnsi="David" w:hint="cs"/>
          <w:b/>
          <w:bCs/>
          <w:noProof w:val="0"/>
          <w:u w:val="single"/>
          <w:rtl/>
        </w:rPr>
        <w:t xml:space="preserve">נקבע כי </w:t>
      </w:r>
      <w:r w:rsidR="00474E6D">
        <w:rPr>
          <w:rFonts w:ascii="David" w:eastAsia="Calibri" w:hAnsi="David"/>
          <w:b/>
          <w:bCs/>
          <w:noProof w:val="0"/>
          <w:u w:val="single"/>
          <w:rtl/>
        </w:rPr>
        <w:t>אלמונית 1</w:t>
      </w:r>
      <w:r w:rsidRPr="00E77C2F">
        <w:rPr>
          <w:rFonts w:ascii="David" w:eastAsia="Calibri" w:hAnsi="David"/>
          <w:b/>
          <w:bCs/>
          <w:noProof w:val="0"/>
          <w:u w:val="single"/>
          <w:rtl/>
        </w:rPr>
        <w:t xml:space="preserve"> היתה מודעת להליך צו הקיום, ושיתפה פעולה עם </w:t>
      </w:r>
      <w:r w:rsidR="00474E6D">
        <w:rPr>
          <w:rFonts w:ascii="David" w:eastAsia="Calibri" w:hAnsi="David"/>
          <w:b/>
          <w:bCs/>
          <w:noProof w:val="0"/>
          <w:u w:val="single"/>
          <w:rtl/>
        </w:rPr>
        <w:t>אלמוני</w:t>
      </w:r>
      <w:r w:rsidRPr="00E77C2F">
        <w:rPr>
          <w:rFonts w:ascii="David" w:eastAsia="Calibri" w:hAnsi="David"/>
          <w:b/>
          <w:bCs/>
          <w:noProof w:val="0"/>
          <w:u w:val="single"/>
          <w:rtl/>
        </w:rPr>
        <w:t xml:space="preserve">, כנגד ההתנגדות שהוגשה לקיום הצוואה ע"י </w:t>
      </w:r>
      <w:r w:rsidR="00474E6D">
        <w:rPr>
          <w:rFonts w:ascii="David" w:eastAsia="Calibri" w:hAnsi="David"/>
          <w:b/>
          <w:bCs/>
          <w:noProof w:val="0"/>
          <w:u w:val="single"/>
          <w:rtl/>
        </w:rPr>
        <w:t>פלוני</w:t>
      </w:r>
      <w:r w:rsidRPr="00FA1DB5">
        <w:rPr>
          <w:rFonts w:ascii="David" w:eastAsia="Calibri" w:hAnsi="David"/>
          <w:noProof w:val="0"/>
          <w:rtl/>
        </w:rPr>
        <w:t xml:space="preserve">. </w:t>
      </w:r>
      <w:r w:rsidR="00E77C2F">
        <w:rPr>
          <w:rFonts w:ascii="David" w:eastAsia="Calibri" w:hAnsi="David" w:hint="cs"/>
          <w:noProof w:val="0"/>
          <w:rtl/>
        </w:rPr>
        <w:t xml:space="preserve">  בית המשפט הפנה </w:t>
      </w:r>
      <w:r w:rsidRPr="00FA1DB5">
        <w:rPr>
          <w:rFonts w:ascii="David" w:eastAsia="Calibri" w:hAnsi="David"/>
          <w:noProof w:val="0"/>
          <w:rtl/>
        </w:rPr>
        <w:t xml:space="preserve">למכתב שנכתב על </w:t>
      </w:r>
      <w:r w:rsidR="00B011B6">
        <w:rPr>
          <w:rFonts w:ascii="David" w:eastAsia="Calibri" w:hAnsi="David" w:hint="cs"/>
          <w:noProof w:val="0"/>
          <w:rtl/>
        </w:rPr>
        <w:t xml:space="preserve">ידי </w:t>
      </w:r>
      <w:r w:rsidRPr="00FA1DB5">
        <w:rPr>
          <w:rFonts w:ascii="David" w:eastAsia="Calibri" w:hAnsi="David"/>
          <w:noProof w:val="0"/>
          <w:rtl/>
        </w:rPr>
        <w:t xml:space="preserve">כלל האחיות, ממנו ניתן ללמוד כי </w:t>
      </w:r>
      <w:r w:rsidR="00E77C2F">
        <w:rPr>
          <w:rFonts w:ascii="David" w:eastAsia="Calibri" w:hAnsi="David" w:hint="cs"/>
          <w:noProof w:val="0"/>
          <w:rtl/>
        </w:rPr>
        <w:t xml:space="preserve">כולן </w:t>
      </w:r>
      <w:r w:rsidRPr="00FA1DB5">
        <w:rPr>
          <w:rFonts w:ascii="David" w:eastAsia="Calibri" w:hAnsi="David"/>
          <w:noProof w:val="0"/>
          <w:rtl/>
        </w:rPr>
        <w:t xml:space="preserve">היו מודעות להליך, סברו כי הצוואה מבטאת את רצון המנוחה, וביקשו מבית המשפט ליתן לה צו קיום. </w:t>
      </w:r>
      <w:r w:rsidR="00474E6D">
        <w:rPr>
          <w:rFonts w:ascii="David" w:eastAsia="Calibri" w:hAnsi="David"/>
          <w:b/>
          <w:bCs/>
          <w:noProof w:val="0"/>
          <w:u w:val="single"/>
          <w:rtl/>
        </w:rPr>
        <w:t>אלמונית 1</w:t>
      </w:r>
      <w:r w:rsidRPr="00E77C2F">
        <w:rPr>
          <w:rFonts w:ascii="David" w:eastAsia="Calibri" w:hAnsi="David"/>
          <w:b/>
          <w:bCs/>
          <w:noProof w:val="0"/>
          <w:u w:val="single"/>
          <w:rtl/>
        </w:rPr>
        <w:t xml:space="preserve"> אפוא, בהיותה מודעת להליך, יכולה היתה להעלות טענותיה בהליך ולא עשתה כן</w:t>
      </w:r>
      <w:r w:rsidR="00E77C2F">
        <w:rPr>
          <w:rFonts w:ascii="David" w:eastAsia="Calibri" w:hAnsi="David" w:hint="cs"/>
          <w:noProof w:val="0"/>
          <w:rtl/>
        </w:rPr>
        <w:t xml:space="preserve">, </w:t>
      </w:r>
      <w:r w:rsidRPr="00FA1DB5">
        <w:rPr>
          <w:rFonts w:ascii="David" w:eastAsia="Calibri" w:hAnsi="David"/>
          <w:noProof w:val="0"/>
          <w:rtl/>
        </w:rPr>
        <w:t xml:space="preserve"> צידדה בצוואה</w:t>
      </w:r>
      <w:r w:rsidR="00E77C2F">
        <w:rPr>
          <w:rFonts w:ascii="David" w:eastAsia="Calibri" w:hAnsi="David"/>
          <w:noProof w:val="0"/>
          <w:rtl/>
        </w:rPr>
        <w:t xml:space="preserve"> וסברה כי היא מבטאת רצון המנוחה</w:t>
      </w:r>
      <w:r w:rsidR="00E77C2F">
        <w:rPr>
          <w:rFonts w:ascii="David" w:eastAsia="Calibri" w:hAnsi="David" w:hint="cs"/>
          <w:noProof w:val="0"/>
          <w:rtl/>
        </w:rPr>
        <w:t xml:space="preserve">. </w:t>
      </w:r>
      <w:r w:rsidRPr="00FA1DB5">
        <w:rPr>
          <w:rFonts w:ascii="David" w:eastAsia="Calibri" w:hAnsi="David"/>
          <w:noProof w:val="0"/>
          <w:rtl/>
        </w:rPr>
        <w:t xml:space="preserve"> כעת היא טוענת ההפך הגמור</w:t>
      </w:r>
      <w:r w:rsidR="00E77C2F">
        <w:rPr>
          <w:rFonts w:ascii="David" w:eastAsia="Calibri" w:hAnsi="David" w:hint="cs"/>
          <w:noProof w:val="0"/>
          <w:rtl/>
        </w:rPr>
        <w:t xml:space="preserve">.  </w:t>
      </w:r>
      <w:r w:rsidRPr="00FA1DB5">
        <w:rPr>
          <w:rFonts w:ascii="David" w:eastAsia="Calibri" w:hAnsi="David"/>
          <w:noProof w:val="0"/>
          <w:rtl/>
        </w:rPr>
        <w:t xml:space="preserve">לא רק שהדבר מעלה קושי לגבי טענותיה, אלא שעל פניו מקים </w:t>
      </w:r>
      <w:r w:rsidR="00E77C2F">
        <w:rPr>
          <w:rFonts w:ascii="David" w:eastAsia="Calibri" w:hAnsi="David" w:hint="cs"/>
          <w:noProof w:val="0"/>
          <w:rtl/>
        </w:rPr>
        <w:t xml:space="preserve">טענת </w:t>
      </w:r>
      <w:r w:rsidRPr="00FA1DB5">
        <w:rPr>
          <w:rFonts w:ascii="David" w:eastAsia="Calibri" w:hAnsi="David"/>
          <w:noProof w:val="0"/>
          <w:rtl/>
        </w:rPr>
        <w:t xml:space="preserve">השתק. </w:t>
      </w:r>
      <w:r w:rsidR="00E77C2F">
        <w:rPr>
          <w:rFonts w:ascii="David" w:eastAsia="Calibri" w:hAnsi="David" w:hint="cs"/>
          <w:noProof w:val="0"/>
          <w:rtl/>
        </w:rPr>
        <w:t xml:space="preserve">  </w:t>
      </w:r>
      <w:r w:rsidRPr="00FA1DB5">
        <w:rPr>
          <w:rFonts w:ascii="David" w:eastAsia="Calibri" w:hAnsi="David"/>
          <w:noProof w:val="0"/>
          <w:rtl/>
        </w:rPr>
        <w:t xml:space="preserve">בית המשפט הפנה לעובדה כי בקשת צו קיום הצוואה נשלחה כדין לכלל היורשים, לרבות </w:t>
      </w:r>
      <w:r w:rsidR="00474E6D">
        <w:rPr>
          <w:rFonts w:ascii="David" w:eastAsia="Calibri" w:hAnsi="David"/>
          <w:noProof w:val="0"/>
          <w:rtl/>
        </w:rPr>
        <w:t>אלמונית 1</w:t>
      </w:r>
      <w:r w:rsidR="00E77C2F">
        <w:rPr>
          <w:rFonts w:ascii="David" w:eastAsia="Calibri" w:hAnsi="David" w:hint="cs"/>
          <w:noProof w:val="0"/>
          <w:rtl/>
        </w:rPr>
        <w:t xml:space="preserve">, שהיתה זכאית </w:t>
      </w:r>
      <w:r w:rsidRPr="00FA1DB5">
        <w:rPr>
          <w:rFonts w:ascii="David" w:eastAsia="Calibri" w:hAnsi="David"/>
          <w:noProof w:val="0"/>
          <w:rtl/>
        </w:rPr>
        <w:t xml:space="preserve">להגיש התנגדות, מטעמה, והיא </w:t>
      </w:r>
      <w:r w:rsidR="00E77C2F">
        <w:rPr>
          <w:rFonts w:ascii="David" w:eastAsia="Calibri" w:hAnsi="David" w:hint="cs"/>
          <w:noProof w:val="0"/>
          <w:rtl/>
        </w:rPr>
        <w:t xml:space="preserve">בחרה לא לעשות זאת.  </w:t>
      </w:r>
      <w:r w:rsidR="00474E6D">
        <w:rPr>
          <w:rFonts w:ascii="David" w:eastAsia="Calibri" w:hAnsi="David"/>
          <w:noProof w:val="0"/>
          <w:rtl/>
        </w:rPr>
        <w:t>אלמונית 1</w:t>
      </w:r>
      <w:r w:rsidRPr="00FA1DB5">
        <w:rPr>
          <w:rFonts w:ascii="David" w:eastAsia="Calibri" w:hAnsi="David"/>
          <w:noProof w:val="0"/>
          <w:rtl/>
        </w:rPr>
        <w:t xml:space="preserve"> המשיכה ונקטה בהליך נוסף מס'  7663-08-16; במסגרתו, עלה כי היא הגיעה להסכמה עם אחיה </w:t>
      </w:r>
      <w:r w:rsidR="00474E6D">
        <w:rPr>
          <w:rFonts w:ascii="David" w:eastAsia="Calibri" w:hAnsi="David"/>
          <w:noProof w:val="0"/>
          <w:rtl/>
        </w:rPr>
        <w:t>אלמוני</w:t>
      </w:r>
      <w:r w:rsidRPr="00FA1DB5">
        <w:rPr>
          <w:rFonts w:ascii="David" w:eastAsia="Calibri" w:hAnsi="David"/>
          <w:noProof w:val="0"/>
          <w:rtl/>
        </w:rPr>
        <w:t xml:space="preserve">, ורק משזה לא קיים, לטענתה, </w:t>
      </w:r>
      <w:r w:rsidR="00E77C2F">
        <w:rPr>
          <w:rFonts w:ascii="David" w:eastAsia="Calibri" w:hAnsi="David" w:hint="cs"/>
          <w:noProof w:val="0"/>
          <w:rtl/>
        </w:rPr>
        <w:t xml:space="preserve">את </w:t>
      </w:r>
      <w:r w:rsidRPr="00FA1DB5">
        <w:rPr>
          <w:rFonts w:ascii="David" w:eastAsia="Calibri" w:hAnsi="David"/>
          <w:noProof w:val="0"/>
          <w:rtl/>
        </w:rPr>
        <w:t>הבטחתו כלפיה, חזרה בה מהסכמתה לגבי צו הקיום; משמע לא רצון המנוחה הוא שעל הפרק, כי אם הפרת האח הנטענת.</w:t>
      </w:r>
    </w:p>
    <w:p w:rsidR="00E77C2F" w:rsidRDefault="00E77C2F" w:rsidP="00E77C2F">
      <w:pPr>
        <w:pStyle w:val="ad"/>
        <w:rPr>
          <w:rFonts w:ascii="David" w:eastAsia="Calibri" w:hAnsi="David"/>
          <w:b/>
          <w:bCs/>
          <w:noProof w:val="0"/>
          <w:u w:val="single"/>
          <w:rtl/>
        </w:rPr>
      </w:pPr>
    </w:p>
    <w:p w:rsidR="00FA1DB5" w:rsidRPr="00FA1DB5" w:rsidRDefault="00FA1DB5" w:rsidP="00E77C2F">
      <w:pPr>
        <w:numPr>
          <w:ilvl w:val="0"/>
          <w:numId w:val="1"/>
        </w:numPr>
        <w:spacing w:after="160" w:line="360" w:lineRule="auto"/>
        <w:contextualSpacing/>
        <w:jc w:val="both"/>
        <w:rPr>
          <w:rFonts w:ascii="David" w:eastAsia="Calibri" w:hAnsi="David"/>
          <w:noProof w:val="0"/>
        </w:rPr>
      </w:pPr>
      <w:r w:rsidRPr="00FA1DB5">
        <w:rPr>
          <w:rFonts w:ascii="David" w:eastAsia="Calibri" w:hAnsi="David"/>
          <w:b/>
          <w:bCs/>
          <w:noProof w:val="0"/>
          <w:u w:val="single"/>
          <w:rtl/>
        </w:rPr>
        <w:t>אשר לטענה השנייה</w:t>
      </w:r>
      <w:r w:rsidRPr="00FA1DB5">
        <w:rPr>
          <w:rFonts w:ascii="David" w:eastAsia="Calibri" w:hAnsi="David"/>
          <w:noProof w:val="0"/>
          <w:rtl/>
        </w:rPr>
        <w:t xml:space="preserve"> נקבע כי אין בה ממש; מעת שאישר כב' בית המשפט המחוזי את הסכם הפשרה בעמ"ש 7009-09-13, סבר בית המשפט כי בסמכותו להקנות תוקף לצוואה</w:t>
      </w:r>
      <w:r w:rsidR="00E77C2F">
        <w:rPr>
          <w:rFonts w:ascii="David" w:eastAsia="Calibri" w:hAnsi="David" w:hint="cs"/>
          <w:noProof w:val="0"/>
          <w:rtl/>
        </w:rPr>
        <w:t xml:space="preserve">. בית המשפט קבע </w:t>
      </w:r>
      <w:r w:rsidRPr="00FA1DB5">
        <w:rPr>
          <w:rFonts w:ascii="David" w:eastAsia="Calibri" w:hAnsi="David"/>
          <w:noProof w:val="0"/>
          <w:rtl/>
        </w:rPr>
        <w:t>כי בית המשפט המחוזי היה מודע לקביעת</w:t>
      </w:r>
      <w:r w:rsidR="00E77C2F">
        <w:rPr>
          <w:rFonts w:ascii="David" w:eastAsia="Calibri" w:hAnsi="David" w:hint="cs"/>
          <w:noProof w:val="0"/>
          <w:rtl/>
        </w:rPr>
        <w:t xml:space="preserve">ו של בית המשפט למשפחה, </w:t>
      </w:r>
      <w:r w:rsidRPr="00FA1DB5">
        <w:rPr>
          <w:rFonts w:ascii="David" w:eastAsia="Calibri" w:hAnsi="David"/>
          <w:noProof w:val="0"/>
          <w:rtl/>
        </w:rPr>
        <w:t xml:space="preserve">שקל אותה בין </w:t>
      </w:r>
      <w:r w:rsidR="00E77C2F">
        <w:rPr>
          <w:rFonts w:ascii="David" w:eastAsia="Calibri" w:hAnsi="David" w:hint="cs"/>
          <w:noProof w:val="0"/>
          <w:rtl/>
        </w:rPr>
        <w:t xml:space="preserve">יתר </w:t>
      </w:r>
      <w:r w:rsidRPr="00FA1DB5">
        <w:rPr>
          <w:rFonts w:ascii="David" w:eastAsia="Calibri" w:hAnsi="David"/>
          <w:noProof w:val="0"/>
          <w:rtl/>
        </w:rPr>
        <w:t>שיקוליו, ו</w:t>
      </w:r>
      <w:r w:rsidR="00E77C2F">
        <w:rPr>
          <w:rFonts w:ascii="David" w:eastAsia="Calibri" w:hAnsi="David"/>
          <w:noProof w:val="0"/>
          <w:rtl/>
        </w:rPr>
        <w:t>חרף זאת ראה לקבוע כי הצוואה תקפ</w:t>
      </w:r>
      <w:r w:rsidR="00E77C2F">
        <w:rPr>
          <w:rFonts w:ascii="David" w:eastAsia="Calibri" w:hAnsi="David" w:hint="cs"/>
          <w:noProof w:val="0"/>
          <w:rtl/>
        </w:rPr>
        <w:t xml:space="preserve">ה. </w:t>
      </w:r>
      <w:r w:rsidRPr="00FA1DB5">
        <w:rPr>
          <w:rFonts w:ascii="David" w:eastAsia="Calibri" w:hAnsi="David"/>
          <w:noProof w:val="0"/>
          <w:rtl/>
        </w:rPr>
        <w:t>המועד לתק</w:t>
      </w:r>
      <w:r w:rsidR="00E77C2F">
        <w:rPr>
          <w:rFonts w:ascii="David" w:eastAsia="Calibri" w:hAnsi="David" w:hint="cs"/>
          <w:noProof w:val="0"/>
          <w:rtl/>
        </w:rPr>
        <w:t xml:space="preserve">יפת </w:t>
      </w:r>
      <w:r w:rsidRPr="00FA1DB5">
        <w:rPr>
          <w:rFonts w:ascii="David" w:eastAsia="Calibri" w:hAnsi="David"/>
          <w:noProof w:val="0"/>
          <w:rtl/>
        </w:rPr>
        <w:t>הכרעה זו חלף</w:t>
      </w:r>
      <w:r w:rsidR="00E77C2F">
        <w:rPr>
          <w:rFonts w:ascii="David" w:eastAsia="Calibri" w:hAnsi="David" w:hint="cs"/>
          <w:noProof w:val="0"/>
          <w:rtl/>
        </w:rPr>
        <w:t xml:space="preserve"> </w:t>
      </w:r>
      <w:r w:rsidRPr="00FA1DB5">
        <w:rPr>
          <w:rFonts w:ascii="David" w:eastAsia="Calibri" w:hAnsi="David"/>
          <w:noProof w:val="0"/>
          <w:rtl/>
        </w:rPr>
        <w:t xml:space="preserve"> עבר (שכן נדרש ערעור לכב' בית המשפט העליון, בוודאי מעת היוודע ל</w:t>
      </w:r>
      <w:r w:rsidR="00474E6D">
        <w:rPr>
          <w:rFonts w:ascii="David" w:eastAsia="Calibri" w:hAnsi="David"/>
          <w:noProof w:val="0"/>
          <w:rtl/>
        </w:rPr>
        <w:t>אלמונית 1</w:t>
      </w:r>
      <w:r w:rsidRPr="00FA1DB5">
        <w:rPr>
          <w:rFonts w:ascii="David" w:eastAsia="Calibri" w:hAnsi="David"/>
          <w:noProof w:val="0"/>
          <w:rtl/>
        </w:rPr>
        <w:t xml:space="preserve"> על ההכרעה בעמ"ש 7009-09-13)</w:t>
      </w:r>
      <w:r w:rsidR="00E77C2F">
        <w:rPr>
          <w:rFonts w:ascii="David" w:eastAsia="Calibri" w:hAnsi="David" w:hint="cs"/>
          <w:noProof w:val="0"/>
          <w:rtl/>
        </w:rPr>
        <w:t xml:space="preserve">.  </w:t>
      </w:r>
      <w:r w:rsidRPr="00FA1DB5">
        <w:rPr>
          <w:rFonts w:ascii="David" w:eastAsia="Calibri" w:hAnsi="David"/>
          <w:noProof w:val="0"/>
          <w:rtl/>
        </w:rPr>
        <w:t>מקום בו בית המשפט המחוזי סבר אחרת, מוסמך היה בית המשפט המחוזי להקנות תוקף לצוואה.</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B672D7">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למעשה החלטת </w:t>
      </w:r>
      <w:r w:rsidR="00E77C2F">
        <w:rPr>
          <w:rFonts w:ascii="Arial" w:hAnsi="Arial" w:hint="cs"/>
          <w:noProof w:val="0"/>
          <w:rtl/>
        </w:rPr>
        <w:t xml:space="preserve">כב' הש' ברגר, </w:t>
      </w:r>
      <w:r w:rsidR="00B672D7">
        <w:rPr>
          <w:rFonts w:ascii="Arial" w:hAnsi="Arial" w:hint="cs"/>
          <w:noProof w:val="0"/>
          <w:rtl/>
        </w:rPr>
        <w:t xml:space="preserve">כפי שהובאה </w:t>
      </w:r>
      <w:r w:rsidRPr="00FA1DB5">
        <w:rPr>
          <w:rFonts w:ascii="Arial" w:hAnsi="Arial"/>
          <w:noProof w:val="0"/>
          <w:rtl/>
        </w:rPr>
        <w:t xml:space="preserve">בהרחבה לעיל, </w:t>
      </w:r>
      <w:r w:rsidRPr="00FA1DB5">
        <w:rPr>
          <w:rFonts w:ascii="Arial" w:hAnsi="Arial"/>
          <w:b/>
          <w:bCs/>
          <w:noProof w:val="0"/>
          <w:u w:val="single"/>
          <w:rtl/>
        </w:rPr>
        <w:t>מ</w:t>
      </w:r>
      <w:r w:rsidR="00B672D7">
        <w:rPr>
          <w:rFonts w:ascii="Arial" w:hAnsi="Arial" w:hint="cs"/>
          <w:b/>
          <w:bCs/>
          <w:noProof w:val="0"/>
          <w:u w:val="single"/>
          <w:rtl/>
        </w:rPr>
        <w:t>ו</w:t>
      </w:r>
      <w:r w:rsidRPr="00FA1DB5">
        <w:rPr>
          <w:rFonts w:ascii="Arial" w:hAnsi="Arial"/>
          <w:b/>
          <w:bCs/>
          <w:noProof w:val="0"/>
          <w:u w:val="single"/>
          <w:rtl/>
        </w:rPr>
        <w:t xml:space="preserve">תירה </w:t>
      </w:r>
      <w:r w:rsidR="00B672D7">
        <w:rPr>
          <w:rFonts w:ascii="Arial" w:hAnsi="Arial" w:hint="cs"/>
          <w:b/>
          <w:bCs/>
          <w:noProof w:val="0"/>
          <w:u w:val="single"/>
          <w:rtl/>
        </w:rPr>
        <w:t xml:space="preserve">את </w:t>
      </w:r>
      <w:r w:rsidRPr="00FA1DB5">
        <w:rPr>
          <w:rFonts w:ascii="Arial" w:hAnsi="Arial"/>
          <w:b/>
          <w:bCs/>
          <w:noProof w:val="0"/>
          <w:u w:val="single"/>
          <w:rtl/>
        </w:rPr>
        <w:t>צו קיום הצוואה על כנו</w:t>
      </w:r>
      <w:r w:rsidRPr="00FA1DB5">
        <w:rPr>
          <w:rFonts w:ascii="Arial" w:hAnsi="Arial"/>
          <w:noProof w:val="0"/>
          <w:rtl/>
        </w:rPr>
        <w:t xml:space="preserve">, </w:t>
      </w:r>
      <w:r w:rsidRPr="00B011B6">
        <w:rPr>
          <w:rFonts w:ascii="Arial" w:hAnsi="Arial"/>
          <w:b/>
          <w:bCs/>
          <w:noProof w:val="0"/>
          <w:u w:val="single"/>
          <w:rtl/>
        </w:rPr>
        <w:t>לאחר שנמצא ש</w:t>
      </w:r>
      <w:r w:rsidR="00474E6D">
        <w:rPr>
          <w:rFonts w:ascii="Arial" w:hAnsi="Arial"/>
          <w:b/>
          <w:bCs/>
          <w:noProof w:val="0"/>
          <w:u w:val="single"/>
          <w:rtl/>
        </w:rPr>
        <w:t>אלמונית 1</w:t>
      </w:r>
      <w:r w:rsidRPr="00B011B6">
        <w:rPr>
          <w:rFonts w:ascii="Arial" w:hAnsi="Arial"/>
          <w:b/>
          <w:bCs/>
          <w:noProof w:val="0"/>
          <w:u w:val="single"/>
          <w:rtl/>
        </w:rPr>
        <w:t xml:space="preserve"> אינה עומדת בתנאי סעיף 72 לחוק הירושה ונמצא כי היא ידעה על ההליכים שהתנהלו בעבר ולא בקשה ליטול בהן חלק.</w:t>
      </w:r>
      <w:r w:rsidRPr="00FA1DB5">
        <w:rPr>
          <w:rFonts w:ascii="Arial" w:hAnsi="Arial"/>
          <w:noProof w:val="0"/>
          <w:rtl/>
        </w:rPr>
        <w:t xml:space="preserve"> </w:t>
      </w:r>
      <w:r w:rsidR="00B672D7">
        <w:rPr>
          <w:rFonts w:ascii="Arial" w:hAnsi="Arial" w:hint="cs"/>
          <w:noProof w:val="0"/>
          <w:rtl/>
        </w:rPr>
        <w:t xml:space="preserve">זאת ועוד,  </w:t>
      </w:r>
      <w:r w:rsidRPr="00FA1DB5">
        <w:rPr>
          <w:rFonts w:ascii="Arial" w:hAnsi="Arial"/>
          <w:noProof w:val="0"/>
          <w:rtl/>
        </w:rPr>
        <w:t xml:space="preserve">בהליך הראשון שהתקיים לפני </w:t>
      </w:r>
      <w:r w:rsidR="00B672D7">
        <w:rPr>
          <w:rFonts w:ascii="Arial" w:hAnsi="Arial" w:hint="cs"/>
          <w:noProof w:val="0"/>
          <w:rtl/>
        </w:rPr>
        <w:t xml:space="preserve">הש' ברגר, </w:t>
      </w:r>
      <w:r w:rsidRPr="00FA1DB5">
        <w:rPr>
          <w:rFonts w:ascii="Arial" w:hAnsi="Arial"/>
          <w:noProof w:val="0"/>
          <w:rtl/>
        </w:rPr>
        <w:t xml:space="preserve">גרסתה של </w:t>
      </w:r>
      <w:r w:rsidR="00474E6D">
        <w:rPr>
          <w:rFonts w:ascii="Arial" w:hAnsi="Arial"/>
          <w:noProof w:val="0"/>
          <w:rtl/>
        </w:rPr>
        <w:t>אלמונית 1</w:t>
      </w:r>
      <w:r w:rsidRPr="00FA1DB5">
        <w:rPr>
          <w:rFonts w:ascii="Arial" w:hAnsi="Arial"/>
          <w:noProof w:val="0"/>
          <w:rtl/>
        </w:rPr>
        <w:t xml:space="preserve"> תמכה באח </w:t>
      </w:r>
      <w:r w:rsidR="00474E6D">
        <w:rPr>
          <w:rFonts w:ascii="Arial" w:hAnsi="Arial"/>
          <w:noProof w:val="0"/>
          <w:rtl/>
        </w:rPr>
        <w:t>אלמוני</w:t>
      </w:r>
      <w:r w:rsidRPr="00FA1DB5">
        <w:rPr>
          <w:rFonts w:ascii="Arial" w:hAnsi="Arial"/>
          <w:noProof w:val="0"/>
          <w:rtl/>
        </w:rPr>
        <w:t xml:space="preserve"> שעתר לקיים את הצוואה והוגשו מכתבים מטעמה בגדרם מבקרת </w:t>
      </w:r>
      <w:r w:rsidR="00B672D7">
        <w:rPr>
          <w:rFonts w:ascii="Arial" w:hAnsi="Arial" w:hint="cs"/>
          <w:noProof w:val="0"/>
          <w:rtl/>
        </w:rPr>
        <w:t xml:space="preserve">היא </w:t>
      </w:r>
      <w:r w:rsidRPr="00FA1DB5">
        <w:rPr>
          <w:rFonts w:ascii="Arial" w:hAnsi="Arial"/>
          <w:noProof w:val="0"/>
          <w:rtl/>
        </w:rPr>
        <w:t xml:space="preserve">את התנהגות האח </w:t>
      </w:r>
      <w:r w:rsidR="00474E6D">
        <w:rPr>
          <w:rFonts w:ascii="Arial" w:hAnsi="Arial"/>
          <w:noProof w:val="0"/>
          <w:rtl/>
        </w:rPr>
        <w:t>פלוני</w:t>
      </w:r>
      <w:r w:rsidRPr="00FA1DB5">
        <w:rPr>
          <w:rFonts w:ascii="Arial" w:hAnsi="Arial"/>
          <w:noProof w:val="0"/>
          <w:rtl/>
        </w:rPr>
        <w:t xml:space="preserve"> שהגיש </w:t>
      </w:r>
      <w:r w:rsidR="00B672D7">
        <w:rPr>
          <w:rFonts w:ascii="Arial" w:hAnsi="Arial" w:hint="cs"/>
          <w:noProof w:val="0"/>
          <w:rtl/>
        </w:rPr>
        <w:t>ה</w:t>
      </w:r>
      <w:r w:rsidRPr="00FA1DB5">
        <w:rPr>
          <w:rFonts w:ascii="Arial" w:hAnsi="Arial"/>
          <w:noProof w:val="0"/>
          <w:rtl/>
        </w:rPr>
        <w:t>תנגדות.</w:t>
      </w:r>
    </w:p>
    <w:p w:rsidR="00FA1DB5" w:rsidRPr="00FA1DB5" w:rsidRDefault="00FA1DB5" w:rsidP="00FA1DB5">
      <w:pPr>
        <w:spacing w:line="360" w:lineRule="auto"/>
        <w:ind w:left="720"/>
        <w:contextualSpacing/>
        <w:jc w:val="both"/>
        <w:rPr>
          <w:rFonts w:ascii="Arial" w:hAnsi="Arial"/>
          <w:noProof w:val="0"/>
        </w:rPr>
      </w:pPr>
    </w:p>
    <w:p w:rsidR="00FA1DB5" w:rsidRPr="00B672D7" w:rsidRDefault="00FA1DB5" w:rsidP="00B672D7">
      <w:pPr>
        <w:numPr>
          <w:ilvl w:val="0"/>
          <w:numId w:val="1"/>
        </w:numPr>
        <w:spacing w:after="160" w:line="360" w:lineRule="auto"/>
        <w:contextualSpacing/>
        <w:jc w:val="both"/>
        <w:rPr>
          <w:rFonts w:ascii="Arial" w:hAnsi="Arial"/>
          <w:noProof w:val="0"/>
          <w:rtl/>
        </w:rPr>
      </w:pPr>
      <w:r w:rsidRPr="00FA1DB5">
        <w:rPr>
          <w:rFonts w:ascii="Arial" w:hAnsi="Arial"/>
          <w:noProof w:val="0"/>
          <w:rtl/>
        </w:rPr>
        <w:lastRenderedPageBreak/>
        <w:t>על ההחלטה הנ"ל מיום 23.9.2019- בת"ע 31165-03-19 הוגש ערעור במסגרת עמ"ש 21133-11-19.</w:t>
      </w:r>
      <w:r w:rsidR="00B672D7">
        <w:rPr>
          <w:rFonts w:ascii="Arial" w:hAnsi="Arial" w:hint="cs"/>
          <w:noProof w:val="0"/>
          <w:rtl/>
        </w:rPr>
        <w:t xml:space="preserve">  </w:t>
      </w:r>
      <w:r w:rsidR="00B672D7">
        <w:rPr>
          <w:rFonts w:ascii="Arial" w:hAnsi="Arial"/>
          <w:noProof w:val="0"/>
          <w:rtl/>
        </w:rPr>
        <w:t xml:space="preserve">ביום 10.3.2020 ניתן </w:t>
      </w:r>
      <w:r w:rsidR="00B672D7">
        <w:rPr>
          <w:rFonts w:ascii="Arial" w:hAnsi="Arial" w:hint="cs"/>
          <w:noProof w:val="0"/>
          <w:rtl/>
        </w:rPr>
        <w:t xml:space="preserve">בבית המשפט המחוזי </w:t>
      </w:r>
      <w:r w:rsidR="00B672D7">
        <w:rPr>
          <w:rFonts w:ascii="Arial" w:hAnsi="Arial"/>
          <w:noProof w:val="0"/>
          <w:rtl/>
        </w:rPr>
        <w:t>פסק דין</w:t>
      </w:r>
      <w:r w:rsidRPr="00B672D7">
        <w:rPr>
          <w:rFonts w:ascii="Arial" w:hAnsi="Arial"/>
          <w:noProof w:val="0"/>
          <w:rtl/>
        </w:rPr>
        <w:t xml:space="preserve">, המאשר את קביעת </w:t>
      </w:r>
      <w:r w:rsidR="00B672D7">
        <w:rPr>
          <w:rFonts w:ascii="Arial" w:hAnsi="Arial" w:hint="cs"/>
          <w:noProof w:val="0"/>
          <w:rtl/>
        </w:rPr>
        <w:t xml:space="preserve">הש' ברגר </w:t>
      </w:r>
      <w:r w:rsidR="00B672D7">
        <w:rPr>
          <w:rFonts w:ascii="Arial" w:hAnsi="Arial"/>
          <w:noProof w:val="0"/>
          <w:rtl/>
        </w:rPr>
        <w:t>בת"ע 31165-03-19</w:t>
      </w:r>
      <w:r w:rsidR="00B672D7">
        <w:rPr>
          <w:rFonts w:ascii="Arial" w:hAnsi="Arial" w:hint="cs"/>
          <w:noProof w:val="0"/>
          <w:rtl/>
        </w:rPr>
        <w:t xml:space="preserve">.   </w:t>
      </w:r>
      <w:r w:rsidRPr="00B672D7">
        <w:rPr>
          <w:rFonts w:ascii="Arial" w:hAnsi="Arial"/>
          <w:noProof w:val="0"/>
          <w:rtl/>
        </w:rPr>
        <w:t xml:space="preserve">אומנם, נקבע </w:t>
      </w:r>
      <w:r w:rsidRPr="00B672D7">
        <w:rPr>
          <w:rFonts w:ascii="David" w:eastAsia="Calibri" w:hAnsi="David"/>
          <w:noProof w:val="0"/>
          <w:rtl/>
        </w:rPr>
        <w:t xml:space="preserve">, התחושה אינה נוחה; וכי </w:t>
      </w:r>
      <w:r w:rsidR="00474E6D">
        <w:rPr>
          <w:rFonts w:ascii="David" w:eastAsia="Calibri" w:hAnsi="David"/>
          <w:noProof w:val="0"/>
          <w:rtl/>
        </w:rPr>
        <w:t>אלמונית 1</w:t>
      </w:r>
      <w:r w:rsidRPr="00B672D7">
        <w:rPr>
          <w:rFonts w:ascii="David" w:eastAsia="Calibri" w:hAnsi="David"/>
          <w:noProof w:val="0"/>
          <w:rtl/>
        </w:rPr>
        <w:t xml:space="preserve"> אשר הגם שההליכים המקוריים השפיעו עליה, לא זכתה כי ישמע קולה כדבעי. </w:t>
      </w:r>
      <w:r w:rsidRPr="00B672D7">
        <w:rPr>
          <w:rFonts w:ascii="David" w:eastAsia="Calibri" w:hAnsi="David"/>
          <w:b/>
          <w:bCs/>
          <w:noProof w:val="0"/>
          <w:u w:val="single"/>
          <w:rtl/>
        </w:rPr>
        <w:t xml:space="preserve">עם זאת </w:t>
      </w:r>
      <w:r w:rsidR="00B672D7" w:rsidRPr="00B672D7">
        <w:rPr>
          <w:rFonts w:ascii="David" w:eastAsia="Calibri" w:hAnsi="David" w:hint="cs"/>
          <w:b/>
          <w:bCs/>
          <w:noProof w:val="0"/>
          <w:u w:val="single"/>
          <w:rtl/>
        </w:rPr>
        <w:t xml:space="preserve">נקבע כי </w:t>
      </w:r>
      <w:r w:rsidR="00474E6D">
        <w:rPr>
          <w:rFonts w:ascii="David" w:eastAsia="Calibri" w:hAnsi="David"/>
          <w:b/>
          <w:bCs/>
          <w:noProof w:val="0"/>
          <w:u w:val="single"/>
          <w:rtl/>
        </w:rPr>
        <w:t>אלמונית 1</w:t>
      </w:r>
      <w:r w:rsidRPr="00B672D7">
        <w:rPr>
          <w:rFonts w:ascii="David" w:eastAsia="Calibri" w:hAnsi="David"/>
          <w:b/>
          <w:bCs/>
          <w:noProof w:val="0"/>
          <w:u w:val="single"/>
          <w:rtl/>
        </w:rPr>
        <w:t xml:space="preserve"> היתה מודעת להליכים מאחורי הקלעים, בחרה בשב ואל תעשה מקום בו יכולה היתה להצטרף להליך, ואף שינתה טעמה כך או אחרת, לגבי הצוואה, בהתאם לדין ודברים שניהלה מול אחיה</w:t>
      </w:r>
      <w:r w:rsidRPr="00B672D7">
        <w:rPr>
          <w:rFonts w:ascii="David" w:eastAsia="Calibri" w:hAnsi="David"/>
          <w:noProof w:val="0"/>
          <w:rtl/>
        </w:rPr>
        <w:t>. נקבע כי קיים השתק (הן ביחס להשתתפות בהליך, והן ביחס לרצון המנוחה); קיים מעשה בי דין ביחס לטענות שהועלו (ת"ע 7663-08-16)  ו לא נפלה טעות משפטית בניתוח המצב בבית המשפט קמא</w:t>
      </w:r>
      <w:r w:rsidRPr="00B672D7">
        <w:rPr>
          <w:rFonts w:ascii="Arial" w:hAnsi="Arial"/>
          <w:noProof w:val="0"/>
          <w:rtl/>
        </w:rPr>
        <w:t xml:space="preserve"> בת"ע 31165-03-19. ובכך הערעור נדחה.</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FA1DB5">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כיום מתברר כי </w:t>
      </w:r>
      <w:r w:rsidR="00474E6D">
        <w:rPr>
          <w:rFonts w:ascii="Arial" w:hAnsi="Arial"/>
          <w:noProof w:val="0"/>
          <w:rtl/>
        </w:rPr>
        <w:t>אלמונית 1</w:t>
      </w:r>
      <w:r w:rsidRPr="00FA1DB5">
        <w:rPr>
          <w:rFonts w:ascii="Arial" w:hAnsi="Arial"/>
          <w:noProof w:val="0"/>
          <w:rtl/>
        </w:rPr>
        <w:t xml:space="preserve"> הגישה בקשה למתן צו ירושה וביום 22.11.2023 ניתן צו לכאורה כדין תוך שמירה על מועדים הקובעים בחוק ובתקנות. </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FA1DB5">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ביום 7.12.2023 הוגשה לרשמת לענייני ירושה בקשה על ידי </w:t>
      </w:r>
      <w:r w:rsidR="00474E6D">
        <w:rPr>
          <w:rFonts w:ascii="Arial" w:hAnsi="Arial"/>
          <w:noProof w:val="0"/>
          <w:rtl/>
        </w:rPr>
        <w:t>אלמונית 1</w:t>
      </w:r>
      <w:r w:rsidRPr="00FA1DB5">
        <w:rPr>
          <w:rFonts w:ascii="Arial" w:hAnsi="Arial"/>
          <w:noProof w:val="0"/>
          <w:rtl/>
        </w:rPr>
        <w:t xml:space="preserve"> למינוי מנהל עיזבון.</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FA1DB5">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ביום 2.10.2024 הוגשה ע"י </w:t>
      </w:r>
      <w:r w:rsidR="00474E6D">
        <w:rPr>
          <w:rFonts w:ascii="Arial" w:hAnsi="Arial"/>
          <w:noProof w:val="0"/>
          <w:rtl/>
        </w:rPr>
        <w:t>פלוני</w:t>
      </w:r>
      <w:r w:rsidRPr="00FA1DB5">
        <w:rPr>
          <w:rFonts w:ascii="Arial" w:hAnsi="Arial"/>
          <w:noProof w:val="0"/>
          <w:rtl/>
        </w:rPr>
        <w:t xml:space="preserve"> בקשה לביטול צו הירושה נוכח העובדה כי קיים פסק דין חלוט המקיים את צוואת המנוחה, ובין היתר מאחר ש</w:t>
      </w:r>
      <w:r w:rsidR="00474E6D">
        <w:rPr>
          <w:rFonts w:ascii="Arial" w:hAnsi="Arial"/>
          <w:noProof w:val="0"/>
          <w:rtl/>
        </w:rPr>
        <w:t>אלמונית 1</w:t>
      </w:r>
      <w:r w:rsidRPr="00FA1DB5">
        <w:rPr>
          <w:rFonts w:ascii="Arial" w:hAnsi="Arial"/>
          <w:noProof w:val="0"/>
          <w:rtl/>
        </w:rPr>
        <w:t xml:space="preserve"> קבלה את חלקה בעיזבון. במקביל הוגשה בקשה לעיכוב כניסת צו הירושה לתוקף.</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FA1DB5">
      <w:pPr>
        <w:numPr>
          <w:ilvl w:val="0"/>
          <w:numId w:val="1"/>
        </w:numPr>
        <w:spacing w:after="160" w:line="360" w:lineRule="auto"/>
        <w:contextualSpacing/>
        <w:jc w:val="both"/>
        <w:rPr>
          <w:rFonts w:ascii="Arial" w:hAnsi="Arial"/>
          <w:noProof w:val="0"/>
          <w:rtl/>
        </w:rPr>
      </w:pPr>
      <w:r w:rsidRPr="00FA1DB5">
        <w:rPr>
          <w:rFonts w:ascii="Arial" w:hAnsi="Arial"/>
          <w:noProof w:val="0"/>
          <w:rtl/>
        </w:rPr>
        <w:t>משהתגלה לרשמת לענייני ירושה עניין קיומו של צו קיום הצוואה ופסק הדין הרלוונטי הונח לע</w:t>
      </w:r>
      <w:r w:rsidR="00474E6D">
        <w:rPr>
          <w:rFonts w:ascii="Arial" w:hAnsi="Arial"/>
          <w:noProof w:val="0"/>
          <w:rtl/>
        </w:rPr>
        <w:t>אלמוני 1</w:t>
      </w:r>
      <w:r w:rsidRPr="00FA1DB5">
        <w:rPr>
          <w:rFonts w:ascii="Arial" w:hAnsi="Arial"/>
          <w:noProof w:val="0"/>
          <w:rtl/>
        </w:rPr>
        <w:t>, העב</w:t>
      </w:r>
      <w:r w:rsidR="00B011B6">
        <w:rPr>
          <w:rFonts w:ascii="Arial" w:hAnsi="Arial"/>
          <w:noProof w:val="0"/>
          <w:rtl/>
        </w:rPr>
        <w:t>ירה את הדיון בבקשה לבית משפט זה</w:t>
      </w:r>
      <w:r w:rsidR="00B011B6">
        <w:rPr>
          <w:rFonts w:ascii="Arial" w:hAnsi="Arial" w:hint="cs"/>
          <w:noProof w:val="0"/>
          <w:rtl/>
        </w:rPr>
        <w:t>, וכן הורתה על עיכוב ביצוע פעולות בעיזבון בהתאם לצו הירושה שניתן.</w:t>
      </w:r>
    </w:p>
    <w:p w:rsidR="00FA1DB5" w:rsidRPr="00FA1DB5" w:rsidRDefault="00FA1DB5" w:rsidP="00FA1DB5">
      <w:pPr>
        <w:spacing w:after="160" w:line="256" w:lineRule="auto"/>
        <w:ind w:left="720"/>
        <w:contextualSpacing/>
        <w:rPr>
          <w:rFonts w:ascii="Arial" w:hAnsi="Arial"/>
          <w:noProof w:val="0"/>
        </w:rPr>
      </w:pPr>
    </w:p>
    <w:p w:rsidR="00FA1DB5" w:rsidRPr="00FA1DB5" w:rsidRDefault="00FA1DB5" w:rsidP="00FA1DB5">
      <w:pPr>
        <w:numPr>
          <w:ilvl w:val="0"/>
          <w:numId w:val="1"/>
        </w:numPr>
        <w:spacing w:after="160" w:line="360" w:lineRule="auto"/>
        <w:contextualSpacing/>
        <w:jc w:val="both"/>
        <w:rPr>
          <w:rFonts w:ascii="Arial" w:hAnsi="Arial"/>
          <w:noProof w:val="0"/>
          <w:rtl/>
        </w:rPr>
      </w:pPr>
      <w:r w:rsidRPr="00FA1DB5">
        <w:rPr>
          <w:rFonts w:ascii="Arial" w:hAnsi="Arial"/>
          <w:noProof w:val="0"/>
          <w:rtl/>
        </w:rPr>
        <w:t xml:space="preserve">עם פתיחת ההליך עסקינן,  הגיש </w:t>
      </w:r>
      <w:r w:rsidR="00474E6D">
        <w:rPr>
          <w:rFonts w:ascii="Arial" w:hAnsi="Arial"/>
          <w:noProof w:val="0"/>
          <w:rtl/>
        </w:rPr>
        <w:t>פלוני</w:t>
      </w:r>
      <w:r w:rsidRPr="00FA1DB5">
        <w:rPr>
          <w:rFonts w:ascii="Arial" w:hAnsi="Arial"/>
          <w:noProof w:val="0"/>
          <w:rtl/>
        </w:rPr>
        <w:t xml:space="preserve"> בקשה לדחייה על הסף לאור ההליכים הרבים שהתנהלו בעבר ומאחר שקיים מעשה בי-דין.</w:t>
      </w:r>
    </w:p>
    <w:p w:rsidR="00FA1DB5" w:rsidRPr="00FA1DB5" w:rsidRDefault="00FA1DB5" w:rsidP="00FA1DB5">
      <w:pPr>
        <w:spacing w:line="360" w:lineRule="auto"/>
        <w:contextualSpacing/>
        <w:jc w:val="both"/>
        <w:rPr>
          <w:rFonts w:ascii="Arial" w:hAnsi="Arial"/>
          <w:noProof w:val="0"/>
          <w:rtl/>
        </w:rPr>
      </w:pPr>
    </w:p>
    <w:p w:rsidR="00FA1DB5" w:rsidRPr="00FA1DB5" w:rsidRDefault="00FA1DB5" w:rsidP="00FA1DB5">
      <w:pPr>
        <w:numPr>
          <w:ilvl w:val="0"/>
          <w:numId w:val="1"/>
        </w:numPr>
        <w:spacing w:after="160" w:line="360" w:lineRule="auto"/>
        <w:contextualSpacing/>
        <w:jc w:val="both"/>
        <w:rPr>
          <w:rFonts w:ascii="Arial" w:hAnsi="Arial"/>
          <w:b/>
          <w:bCs/>
          <w:noProof w:val="0"/>
          <w:rtl/>
        </w:rPr>
      </w:pPr>
      <w:r w:rsidRPr="00FA1DB5">
        <w:rPr>
          <w:rFonts w:ascii="Arial" w:hAnsi="Arial"/>
          <w:noProof w:val="0"/>
          <w:rtl/>
        </w:rPr>
        <w:t xml:space="preserve">ביום 26.2.2024 יורשי האחות </w:t>
      </w:r>
      <w:r w:rsidR="00474E6D">
        <w:rPr>
          <w:rFonts w:ascii="Arial" w:hAnsi="Arial"/>
          <w:noProof w:val="0"/>
          <w:rtl/>
        </w:rPr>
        <w:t>פלונית</w:t>
      </w:r>
      <w:r w:rsidRPr="00FA1DB5">
        <w:rPr>
          <w:rFonts w:ascii="Arial" w:hAnsi="Arial"/>
          <w:noProof w:val="0"/>
          <w:rtl/>
        </w:rPr>
        <w:t xml:space="preserve"> הגישו הודעה לתיק, לפיה  אין להם התנגדות נגד מתן צו הירושה, אינם בקיאים בהליכים אך יודע להם על קיום סכסוכים בין האחים בעניין וכי </w:t>
      </w:r>
      <w:r w:rsidR="00474E6D">
        <w:rPr>
          <w:rFonts w:ascii="Arial" w:hAnsi="Arial"/>
          <w:b/>
          <w:bCs/>
          <w:noProof w:val="0"/>
          <w:rtl/>
        </w:rPr>
        <w:t>אלמונית 1</w:t>
      </w:r>
      <w:r w:rsidRPr="00FA1DB5">
        <w:rPr>
          <w:rFonts w:ascii="Arial" w:hAnsi="Arial"/>
          <w:b/>
          <w:bCs/>
          <w:noProof w:val="0"/>
          <w:rtl/>
        </w:rPr>
        <w:t xml:space="preserve"> לא קבלה את חלקה בעיזבון הוריה.</w:t>
      </w:r>
    </w:p>
    <w:p w:rsidR="00FA1DB5" w:rsidRPr="00E46639" w:rsidRDefault="00FA1DB5" w:rsidP="00FA1DB5">
      <w:pPr>
        <w:spacing w:line="360" w:lineRule="auto"/>
        <w:ind w:left="360"/>
        <w:jc w:val="both"/>
        <w:rPr>
          <w:rFonts w:ascii="Arial" w:hAnsi="Arial"/>
          <w:b/>
          <w:bCs/>
          <w:noProof w:val="0"/>
          <w:u w:val="single"/>
          <w:rtl/>
        </w:rPr>
      </w:pPr>
    </w:p>
    <w:p w:rsidR="00FA1DB5" w:rsidRPr="00FA1DB5" w:rsidRDefault="00FA1DB5" w:rsidP="00FA1DB5">
      <w:pPr>
        <w:spacing w:line="360" w:lineRule="auto"/>
        <w:ind w:left="360"/>
        <w:jc w:val="both"/>
        <w:rPr>
          <w:rFonts w:ascii="Arial" w:hAnsi="Arial"/>
          <w:b/>
          <w:bCs/>
          <w:noProof w:val="0"/>
          <w:u w:val="single"/>
          <w:rtl/>
        </w:rPr>
      </w:pPr>
      <w:r w:rsidRPr="00FA1DB5">
        <w:rPr>
          <w:rFonts w:ascii="Arial" w:hAnsi="Arial"/>
          <w:b/>
          <w:bCs/>
          <w:noProof w:val="0"/>
          <w:u w:val="single"/>
          <w:rtl/>
        </w:rPr>
        <w:t>דיון והכרעה</w:t>
      </w:r>
    </w:p>
    <w:p w:rsidR="00FA1DB5" w:rsidRPr="00FA1DB5" w:rsidRDefault="00FA1DB5" w:rsidP="00FA1DB5">
      <w:pPr>
        <w:spacing w:line="360" w:lineRule="auto"/>
        <w:jc w:val="both"/>
        <w:rPr>
          <w:rFonts w:ascii="Arial" w:hAnsi="Arial"/>
          <w:b/>
          <w:bCs/>
          <w:noProof w:val="0"/>
          <w:u w:val="single"/>
          <w:rtl/>
        </w:rPr>
      </w:pPr>
    </w:p>
    <w:p w:rsidR="00FA1DB5" w:rsidRPr="00B011B6" w:rsidRDefault="00FA1DB5" w:rsidP="00B011B6">
      <w:pPr>
        <w:numPr>
          <w:ilvl w:val="0"/>
          <w:numId w:val="1"/>
        </w:numPr>
        <w:spacing w:after="160" w:line="360" w:lineRule="auto"/>
        <w:contextualSpacing/>
        <w:jc w:val="both"/>
        <w:rPr>
          <w:rFonts w:ascii="Arial" w:hAnsi="Arial"/>
          <w:b/>
          <w:noProof w:val="0"/>
          <w:rtl/>
        </w:rPr>
      </w:pPr>
      <w:r w:rsidRPr="00FA1DB5">
        <w:rPr>
          <w:rFonts w:ascii="Arial" w:hAnsi="Arial"/>
          <w:b/>
          <w:noProof w:val="0"/>
          <w:rtl/>
        </w:rPr>
        <w:t>הדיון אומנם מתבצע על רקע הבקשה לביטול צו הירושה מיום 22.11.2023 אשר הוגשה לרשמת לענייני ירושה</w:t>
      </w:r>
      <w:r w:rsidR="00E46639">
        <w:rPr>
          <w:rFonts w:ascii="Arial" w:hAnsi="Arial" w:hint="cs"/>
          <w:b/>
          <w:noProof w:val="0"/>
          <w:rtl/>
        </w:rPr>
        <w:t>,</w:t>
      </w:r>
      <w:r w:rsidRPr="00FA1DB5">
        <w:rPr>
          <w:rFonts w:ascii="Arial" w:hAnsi="Arial"/>
          <w:b/>
          <w:noProof w:val="0"/>
          <w:rtl/>
        </w:rPr>
        <w:t xml:space="preserve"> מכוח ס' 72 לחוק הירושה והועברה לטיפולי, אם כי ראוי בנסיבות </w:t>
      </w:r>
      <w:r w:rsidRPr="00FA1DB5">
        <w:rPr>
          <w:rFonts w:ascii="Arial" w:hAnsi="Arial"/>
          <w:b/>
          <w:noProof w:val="0"/>
          <w:rtl/>
        </w:rPr>
        <w:lastRenderedPageBreak/>
        <w:t>העניין לדון בבקשה לסילוק על הסף</w:t>
      </w:r>
      <w:r w:rsidR="00E46639">
        <w:rPr>
          <w:rFonts w:ascii="Arial" w:hAnsi="Arial" w:hint="cs"/>
          <w:b/>
          <w:noProof w:val="0"/>
          <w:rtl/>
        </w:rPr>
        <w:t xml:space="preserve">.  </w:t>
      </w:r>
      <w:r w:rsidRPr="00FA1DB5">
        <w:rPr>
          <w:rFonts w:ascii="Arial" w:hAnsi="Arial"/>
          <w:b/>
          <w:noProof w:val="0"/>
          <w:rtl/>
        </w:rPr>
        <w:t>הדבר נדרש לאור ההליכים הרבים שהתנהלו בעבר כפי שהוצגו לעיל</w:t>
      </w:r>
      <w:r w:rsidRPr="00B011B6">
        <w:rPr>
          <w:rFonts w:ascii="Arial" w:hAnsi="Arial"/>
          <w:b/>
          <w:noProof w:val="0"/>
          <w:rtl/>
        </w:rPr>
        <w:t>.</w:t>
      </w:r>
      <w:r w:rsidR="00B011B6" w:rsidRPr="00B011B6">
        <w:rPr>
          <w:rFonts w:ascii="Arial" w:hAnsi="Arial" w:hint="cs"/>
          <w:b/>
          <w:noProof w:val="0"/>
          <w:rtl/>
        </w:rPr>
        <w:t xml:space="preserve">  </w:t>
      </w:r>
      <w:r w:rsidRPr="00B011B6">
        <w:rPr>
          <w:rFonts w:ascii="Arial" w:hAnsi="Arial"/>
          <w:b/>
          <w:noProof w:val="0"/>
          <w:rtl/>
        </w:rPr>
        <w:t xml:space="preserve"> אעבור מיד לטענות העיקריות שהובאו בבקשה לסילוק על הסף.</w:t>
      </w:r>
    </w:p>
    <w:p w:rsidR="00FA1DB5" w:rsidRPr="00FA1DB5" w:rsidRDefault="00FA1DB5" w:rsidP="00FA1DB5">
      <w:pPr>
        <w:spacing w:line="360" w:lineRule="auto"/>
        <w:jc w:val="both"/>
        <w:rPr>
          <w:rFonts w:ascii="Arial" w:hAnsi="Arial"/>
          <w:noProof w:val="0"/>
          <w:rtl/>
        </w:rPr>
      </w:pPr>
    </w:p>
    <w:p w:rsidR="00FA1DB5" w:rsidRPr="00FA1DB5" w:rsidRDefault="00FA1DB5" w:rsidP="00FA1DB5">
      <w:pPr>
        <w:spacing w:line="360" w:lineRule="auto"/>
        <w:ind w:left="360"/>
        <w:jc w:val="both"/>
        <w:rPr>
          <w:rFonts w:ascii="David" w:hAnsi="David"/>
          <w:noProof w:val="0"/>
          <w:rtl/>
        </w:rPr>
      </w:pPr>
    </w:p>
    <w:p w:rsidR="00FA1DB5" w:rsidRPr="00FA1DB5" w:rsidRDefault="00FA1DB5" w:rsidP="00FA1DB5">
      <w:pPr>
        <w:spacing w:line="360" w:lineRule="auto"/>
        <w:ind w:firstLine="720"/>
        <w:jc w:val="both"/>
        <w:rPr>
          <w:rFonts w:ascii="David" w:hAnsi="David"/>
          <w:b/>
          <w:bCs/>
          <w:noProof w:val="0"/>
          <w:rtl/>
        </w:rPr>
      </w:pPr>
      <w:r w:rsidRPr="00FA1DB5">
        <w:rPr>
          <w:rFonts w:ascii="David" w:hAnsi="David"/>
          <w:b/>
          <w:bCs/>
          <w:noProof w:val="0"/>
          <w:rtl/>
        </w:rPr>
        <w:t>מעשה בי-דין</w:t>
      </w:r>
    </w:p>
    <w:p w:rsidR="00FA1DB5" w:rsidRPr="00FA1DB5" w:rsidRDefault="00FA1DB5" w:rsidP="00FA1DB5">
      <w:pPr>
        <w:spacing w:line="360" w:lineRule="auto"/>
        <w:ind w:left="360"/>
        <w:jc w:val="both"/>
        <w:rPr>
          <w:rFonts w:ascii="David" w:hAnsi="David"/>
          <w:noProof w:val="0"/>
          <w:rtl/>
        </w:rPr>
      </w:pPr>
    </w:p>
    <w:p w:rsidR="00FA1DB5" w:rsidRPr="00FA1DB5" w:rsidRDefault="00474E6D" w:rsidP="00FA1DB5">
      <w:pPr>
        <w:numPr>
          <w:ilvl w:val="0"/>
          <w:numId w:val="1"/>
        </w:numPr>
        <w:spacing w:after="160" w:line="360" w:lineRule="auto"/>
        <w:contextualSpacing/>
        <w:jc w:val="both"/>
        <w:rPr>
          <w:rFonts w:ascii="David" w:hAnsi="David"/>
          <w:noProof w:val="0"/>
          <w:rtl/>
        </w:rPr>
      </w:pPr>
      <w:r>
        <w:rPr>
          <w:rFonts w:ascii="David" w:hAnsi="David"/>
          <w:noProof w:val="0"/>
          <w:rtl/>
        </w:rPr>
        <w:t>פלוני</w:t>
      </w:r>
      <w:r w:rsidR="00FA1DB5" w:rsidRPr="00FA1DB5">
        <w:rPr>
          <w:rFonts w:ascii="David" w:hAnsi="David"/>
          <w:noProof w:val="0"/>
          <w:rtl/>
        </w:rPr>
        <w:t xml:space="preserve"> עתר לסילוק על הסף, למעשה לביטול צו הירושה מבלי להידרש לניהול ההליך, וזאת נוכח קיומו של פסק דין חלוט מבית המשפט המחוזי שניתן בעמ"ש 7009-09-13 .</w:t>
      </w:r>
    </w:p>
    <w:p w:rsidR="00FA1DB5" w:rsidRPr="00FA1DB5" w:rsidRDefault="00FA1DB5" w:rsidP="00FA1DB5">
      <w:pPr>
        <w:spacing w:line="360" w:lineRule="auto"/>
        <w:ind w:left="720"/>
        <w:contextualSpacing/>
        <w:jc w:val="both"/>
        <w:rPr>
          <w:rFonts w:ascii="David" w:hAnsi="David"/>
          <w:noProof w:val="0"/>
        </w:rPr>
      </w:pPr>
    </w:p>
    <w:p w:rsidR="00FA1DB5" w:rsidRPr="00FA1DB5" w:rsidRDefault="00FA1DB5" w:rsidP="00FA1DB5">
      <w:pPr>
        <w:numPr>
          <w:ilvl w:val="0"/>
          <w:numId w:val="1"/>
        </w:numPr>
        <w:spacing w:after="160" w:line="360" w:lineRule="auto"/>
        <w:contextualSpacing/>
        <w:jc w:val="both"/>
        <w:rPr>
          <w:rFonts w:ascii="David" w:hAnsi="David"/>
          <w:noProof w:val="0"/>
        </w:rPr>
      </w:pPr>
      <w:r w:rsidRPr="00FA1DB5">
        <w:rPr>
          <w:rFonts w:ascii="David" w:hAnsi="David"/>
          <w:noProof w:val="0"/>
          <w:rtl/>
        </w:rPr>
        <w:t>הדוקטרינה של "</w:t>
      </w:r>
      <w:r w:rsidRPr="00FA1DB5">
        <w:rPr>
          <w:rFonts w:ascii="David" w:hAnsi="David"/>
          <w:b/>
          <w:bCs/>
          <w:noProof w:val="0"/>
          <w:rtl/>
        </w:rPr>
        <w:t>מעשה בית-דין</w:t>
      </w:r>
      <w:r w:rsidRPr="00FA1DB5">
        <w:rPr>
          <w:rFonts w:ascii="David" w:hAnsi="David"/>
          <w:noProof w:val="0"/>
          <w:rtl/>
        </w:rPr>
        <w:t>" מושתתת על עקרון סופיות הדיון, ובמסגרתה אפשר להבחין בשני כללים עיקריים – "</w:t>
      </w:r>
      <w:r w:rsidRPr="00FA1DB5">
        <w:rPr>
          <w:rFonts w:ascii="David" w:hAnsi="David"/>
          <w:b/>
          <w:bCs/>
          <w:noProof w:val="0"/>
          <w:rtl/>
        </w:rPr>
        <w:t>השתק עילה</w:t>
      </w:r>
      <w:r w:rsidRPr="00FA1DB5">
        <w:rPr>
          <w:rFonts w:ascii="David" w:hAnsi="David"/>
          <w:noProof w:val="0"/>
          <w:rtl/>
        </w:rPr>
        <w:t>" ו"</w:t>
      </w:r>
      <w:r w:rsidRPr="00FA1DB5">
        <w:rPr>
          <w:rFonts w:ascii="David" w:hAnsi="David"/>
          <w:b/>
          <w:bCs/>
          <w:noProof w:val="0"/>
          <w:rtl/>
        </w:rPr>
        <w:t>השתק פלוגתא</w:t>
      </w:r>
      <w:r w:rsidRPr="00FA1DB5">
        <w:rPr>
          <w:rFonts w:ascii="David" w:hAnsi="David"/>
          <w:noProof w:val="0"/>
          <w:rtl/>
        </w:rPr>
        <w:t xml:space="preserve">". </w:t>
      </w:r>
      <w:r w:rsidRPr="00FA1DB5">
        <w:rPr>
          <w:rFonts w:ascii="David" w:hAnsi="David"/>
          <w:noProof w:val="0"/>
          <w:u w:val="single"/>
          <w:rtl/>
        </w:rPr>
        <w:t>השתק עילה</w:t>
      </w:r>
      <w:r w:rsidRPr="00FA1DB5">
        <w:rPr>
          <w:rFonts w:ascii="David" w:hAnsi="David"/>
          <w:noProof w:val="0"/>
          <w:rtl/>
        </w:rPr>
        <w:t xml:space="preserve"> - מקים מחסום דיוני בפני כל תביעה נוספת בשל אותה עילה, מקום שהתביעה נדונה לגופה והוכרעה על-ידי בית-משפט מוסמך. כלומר תנאי ראשון אסור להיזקק לתביעה נוספת בין אותם הצדדים או חליפיהם, אם זו מבוססת על </w:t>
      </w:r>
      <w:r w:rsidRPr="00FA1DB5">
        <w:rPr>
          <w:rFonts w:ascii="David" w:hAnsi="David"/>
          <w:b/>
          <w:bCs/>
          <w:noProof w:val="0"/>
          <w:rtl/>
        </w:rPr>
        <w:t>עילה זהה</w:t>
      </w:r>
      <w:r w:rsidRPr="00FA1DB5">
        <w:rPr>
          <w:rFonts w:ascii="David" w:hAnsi="David"/>
          <w:noProof w:val="0"/>
          <w:rtl/>
        </w:rPr>
        <w:t xml:space="preserve"> והתנאי השני הוא כאשר התביעה בגין אותה עילה נדונה </w:t>
      </w:r>
      <w:r w:rsidRPr="00FA1DB5">
        <w:rPr>
          <w:rFonts w:ascii="David" w:hAnsi="David"/>
          <w:b/>
          <w:bCs/>
          <w:noProof w:val="0"/>
          <w:rtl/>
        </w:rPr>
        <w:t>לגופה ולא כדרך אגב</w:t>
      </w:r>
      <w:r w:rsidRPr="00FA1DB5">
        <w:rPr>
          <w:rFonts w:ascii="David" w:hAnsi="David"/>
          <w:noProof w:val="0"/>
        </w:rPr>
        <w:t xml:space="preserve"> .</w:t>
      </w:r>
      <w:r w:rsidRPr="00FA1DB5">
        <w:rPr>
          <w:rFonts w:ascii="David" w:hAnsi="David"/>
          <w:noProof w:val="0"/>
          <w:rtl/>
        </w:rPr>
        <w:t xml:space="preserve"> </w:t>
      </w:r>
      <w:r w:rsidRPr="00FA1DB5">
        <w:rPr>
          <w:rFonts w:ascii="David" w:hAnsi="David" w:hint="cs"/>
          <w:noProof w:val="0"/>
          <w:u w:val="single"/>
          <w:rtl/>
        </w:rPr>
        <w:t>השתק פלוגתא</w:t>
      </w:r>
      <w:r w:rsidRPr="00FA1DB5">
        <w:rPr>
          <w:rFonts w:ascii="David" w:hAnsi="David" w:hint="cs"/>
          <w:noProof w:val="0"/>
          <w:rtl/>
        </w:rPr>
        <w:t xml:space="preserve"> - מקים מחסום דיוני לבעל-דין המבקש לשוב ולהתדיין בשאלה עובדתית מסוימת שכבר נדונה בין בעלי-הדין בהתדיינות קודמת . הפסיקה קבעה ארבעה תנאים : </w:t>
      </w:r>
      <w:r w:rsidRPr="00FA1DB5">
        <w:rPr>
          <w:rFonts w:ascii="David" w:hAnsi="David" w:hint="cs"/>
          <w:b/>
          <w:bCs/>
          <w:noProof w:val="0"/>
          <w:u w:val="single"/>
          <w:rtl/>
        </w:rPr>
        <w:t>א.</w:t>
      </w:r>
      <w:r w:rsidRPr="00FA1DB5">
        <w:rPr>
          <w:rFonts w:ascii="David" w:hAnsi="David" w:hint="cs"/>
          <w:noProof w:val="0"/>
          <w:rtl/>
        </w:rPr>
        <w:t xml:space="preserve"> הפלוגתא העולה בכל אחת מההתדיינויות היא אכן אותה פלוגתא, על רכיביה העובדתיים והמשפטיים </w:t>
      </w:r>
      <w:r w:rsidRPr="00FA1DB5">
        <w:rPr>
          <w:rFonts w:ascii="David" w:hAnsi="David" w:hint="cs"/>
          <w:b/>
          <w:bCs/>
          <w:noProof w:val="0"/>
          <w:u w:val="single"/>
          <w:rtl/>
        </w:rPr>
        <w:t>ב</w:t>
      </w:r>
      <w:r w:rsidRPr="00FA1DB5">
        <w:rPr>
          <w:rFonts w:ascii="David" w:hAnsi="David" w:hint="cs"/>
          <w:noProof w:val="0"/>
          <w:rtl/>
        </w:rPr>
        <w:t xml:space="preserve">. כי קוים דיון בין הצדדים באותה פלוגתא במסגרת ההתדיינות הראשונה, ולצד שנגדו מועלית טענת השתק בהתדיינות השנייה היה יומו בבית המשפט ביחס לאותה פלוגתא". </w:t>
      </w:r>
      <w:r w:rsidRPr="00FA1DB5">
        <w:rPr>
          <w:rFonts w:ascii="David" w:hAnsi="David" w:hint="cs"/>
          <w:b/>
          <w:bCs/>
          <w:noProof w:val="0"/>
          <w:u w:val="single"/>
          <w:rtl/>
        </w:rPr>
        <w:t>ג.</w:t>
      </w:r>
      <w:r w:rsidRPr="00FA1DB5">
        <w:rPr>
          <w:rFonts w:ascii="David" w:hAnsi="David" w:hint="cs"/>
          <w:noProof w:val="0"/>
          <w:rtl/>
        </w:rPr>
        <w:t xml:space="preserve">  כי ההתדיינות הסתיימה בהכרעה מפורשת או מכללא של בית המשפט באותה פלוגתא, בקביעת ממצא פוזיטיבי, להבדיל ממצא הנובע מהעדר הוכחה. </w:t>
      </w:r>
      <w:r w:rsidRPr="00FA1DB5">
        <w:rPr>
          <w:rFonts w:ascii="David" w:hAnsi="David" w:hint="cs"/>
          <w:b/>
          <w:bCs/>
          <w:noProof w:val="0"/>
          <w:u w:val="single"/>
          <w:rtl/>
        </w:rPr>
        <w:t>ד.</w:t>
      </w:r>
      <w:r w:rsidRPr="00FA1DB5">
        <w:rPr>
          <w:rFonts w:ascii="David" w:hAnsi="David" w:hint="cs"/>
          <w:noProof w:val="0"/>
          <w:rtl/>
        </w:rPr>
        <w:t xml:space="preserve">  כי ההכרעה הייתה חיונית לצורך פסק הדין שניתן בתובענה הראשונה. </w:t>
      </w:r>
    </w:p>
    <w:p w:rsidR="00FA1DB5" w:rsidRPr="00FA1DB5" w:rsidRDefault="00FA1DB5" w:rsidP="00FA1DB5">
      <w:pPr>
        <w:spacing w:after="160" w:line="256" w:lineRule="auto"/>
        <w:ind w:left="720"/>
        <w:contextualSpacing/>
        <w:rPr>
          <w:rFonts w:ascii="David" w:hAnsi="David"/>
          <w:noProof w:val="0"/>
        </w:rPr>
      </w:pPr>
    </w:p>
    <w:p w:rsidR="00FA1DB5" w:rsidRPr="00FA1DB5" w:rsidRDefault="00FA1DB5" w:rsidP="00FA1DB5">
      <w:pPr>
        <w:numPr>
          <w:ilvl w:val="0"/>
          <w:numId w:val="1"/>
        </w:numPr>
        <w:spacing w:after="160" w:line="360" w:lineRule="auto"/>
        <w:contextualSpacing/>
        <w:jc w:val="both"/>
        <w:rPr>
          <w:rFonts w:ascii="David" w:hAnsi="David"/>
          <w:noProof w:val="0"/>
          <w:rtl/>
        </w:rPr>
      </w:pPr>
      <w:r w:rsidRPr="00FA1DB5">
        <w:rPr>
          <w:rFonts w:ascii="David" w:hAnsi="David"/>
          <w:noProof w:val="0"/>
          <w:rtl/>
        </w:rPr>
        <w:t xml:space="preserve"> לפי ההלכה הפסוקה, גם חליף מחויב בפסק הדין אף אם לא היה צד להליך המקורי. חליף הוא מי שהוסבה אליו זכות או חבות של צד להסכם הבוררות, וזאת מכוח חוק (כגון: מנהל עזבון, יורש, נאמן בפשיטת רגל וכיוב') או בנסיבות אחרות (כגון לפי חוזה). לא רק, על טענות שהועלו בהליך הראשון, אלא גם על "</w:t>
      </w:r>
      <w:r w:rsidRPr="00FA1DB5">
        <w:rPr>
          <w:rFonts w:ascii="David" w:hAnsi="David"/>
          <w:b/>
          <w:bCs/>
          <w:noProof w:val="0"/>
          <w:rtl/>
        </w:rPr>
        <w:t>טענות שהיה על בעלי הדין להעלותם במסגרת הליך זה</w:t>
      </w:r>
      <w:r w:rsidRPr="00FA1DB5">
        <w:rPr>
          <w:rFonts w:ascii="David" w:hAnsi="David"/>
          <w:noProof w:val="0"/>
          <w:rtl/>
        </w:rPr>
        <w:t xml:space="preserve">" (פרשת גורה; ע"א 102/88 </w:t>
      </w:r>
      <w:r w:rsidRPr="00FA1DB5">
        <w:rPr>
          <w:rFonts w:ascii="David" w:hAnsi="David"/>
          <w:b/>
          <w:bCs/>
          <w:noProof w:val="0"/>
          <w:rtl/>
        </w:rPr>
        <w:t>אבוניל נ' אבוניל</w:t>
      </w:r>
      <w:r w:rsidRPr="00FA1DB5">
        <w:rPr>
          <w:rFonts w:ascii="David" w:hAnsi="David"/>
          <w:noProof w:val="0"/>
          <w:rtl/>
        </w:rPr>
        <w:t xml:space="preserve">, פ"ד מו(1) 741). </w:t>
      </w:r>
    </w:p>
    <w:p w:rsidR="00FA1DB5" w:rsidRPr="00FA1DB5" w:rsidRDefault="00FA1DB5" w:rsidP="00FA1DB5">
      <w:pPr>
        <w:spacing w:after="160" w:line="256" w:lineRule="auto"/>
        <w:ind w:left="720"/>
        <w:contextualSpacing/>
        <w:rPr>
          <w:rFonts w:ascii="David" w:hAnsi="David"/>
          <w:noProof w:val="0"/>
        </w:rPr>
      </w:pPr>
    </w:p>
    <w:p w:rsidR="00FA1DB5" w:rsidRPr="00FA1DB5" w:rsidRDefault="00FA1DB5" w:rsidP="00FA1DB5">
      <w:pPr>
        <w:numPr>
          <w:ilvl w:val="0"/>
          <w:numId w:val="1"/>
        </w:numPr>
        <w:spacing w:after="160" w:line="360" w:lineRule="auto"/>
        <w:jc w:val="both"/>
        <w:rPr>
          <w:rFonts w:ascii="David" w:hAnsi="David"/>
          <w:noProof w:val="0"/>
        </w:rPr>
      </w:pPr>
      <w:r w:rsidRPr="00FA1DB5">
        <w:rPr>
          <w:rFonts w:ascii="David" w:hAnsi="David"/>
          <w:noProof w:val="0"/>
          <w:rtl/>
        </w:rPr>
        <w:t xml:space="preserve">ביחס לפסק דין שבהסכמה, הממזג בקרבו תכונות של הסכם ושל פסק דין ( ראו:ע"א 151/87 ש. </w:t>
      </w:r>
      <w:r w:rsidRPr="00FA1DB5">
        <w:rPr>
          <w:rFonts w:ascii="David" w:hAnsi="David"/>
          <w:b/>
          <w:bCs/>
          <w:noProof w:val="0"/>
          <w:rtl/>
        </w:rPr>
        <w:t>ארצי חברה להשקעות נ' רחמני</w:t>
      </w:r>
      <w:r w:rsidRPr="00FA1DB5">
        <w:rPr>
          <w:rFonts w:ascii="David" w:hAnsi="David"/>
          <w:noProof w:val="0"/>
          <w:rtl/>
        </w:rPr>
        <w:t xml:space="preserve">, פ"ד מג(3) 489 בע' 499, השופט ד' לוין; רע"פ 7148/98 </w:t>
      </w:r>
      <w:r w:rsidRPr="00FA1DB5">
        <w:rPr>
          <w:rFonts w:ascii="David" w:hAnsi="David"/>
          <w:b/>
          <w:bCs/>
          <w:noProof w:val="0"/>
          <w:rtl/>
        </w:rPr>
        <w:t>עזרא נ' זלזניאק</w:t>
      </w:r>
      <w:r w:rsidRPr="00FA1DB5">
        <w:rPr>
          <w:rFonts w:ascii="David" w:hAnsi="David"/>
          <w:noProof w:val="0"/>
          <w:rtl/>
        </w:rPr>
        <w:t xml:space="preserve">, פ"ד נג(3) 337, 344, הנשיא ברק; זלצמן, 329; זוסמן, </w:t>
      </w:r>
      <w:r w:rsidRPr="00FA1DB5">
        <w:rPr>
          <w:rFonts w:ascii="David" w:hAnsi="David"/>
          <w:b/>
          <w:bCs/>
          <w:noProof w:val="0"/>
          <w:rtl/>
        </w:rPr>
        <w:t>סדרי הדין האזרחי</w:t>
      </w:r>
      <w:r w:rsidRPr="00FA1DB5">
        <w:rPr>
          <w:rFonts w:ascii="David" w:hAnsi="David"/>
          <w:noProof w:val="0"/>
          <w:rtl/>
        </w:rPr>
        <w:t xml:space="preserve">, מה' 7, בעריכת ש' לוין, ס' 446 בעמ' 549; גורן, סוגיות בסדר דין אזרחי, מה' 9, 329).נקבע כי,  ההכרעה תהא מתוחמת ככלל לתיק הקונקרטי שהיה בפני בית המשפט.(ראו: גם עא 1351/06 </w:t>
      </w:r>
      <w:r w:rsidRPr="00FA1DB5">
        <w:rPr>
          <w:rFonts w:ascii="David" w:hAnsi="David"/>
          <w:b/>
          <w:bCs/>
          <w:noProof w:val="0"/>
          <w:rtl/>
        </w:rPr>
        <w:t>עו"ד מועין דאוד ח'ורי נ' חברת ארמון ההגמון</w:t>
      </w:r>
      <w:r w:rsidRPr="00FA1DB5">
        <w:rPr>
          <w:rFonts w:ascii="David" w:hAnsi="David"/>
          <w:noProof w:val="0"/>
          <w:rtl/>
        </w:rPr>
        <w:t xml:space="preserve"> (קסר אלמוטראן) בע"מ (פורסם </w:t>
      </w:r>
      <w:r w:rsidRPr="00FA1DB5">
        <w:rPr>
          <w:rFonts w:ascii="David" w:hAnsi="David"/>
          <w:noProof w:val="0"/>
          <w:rtl/>
        </w:rPr>
        <w:lastRenderedPageBreak/>
        <w:t>במאגרים המשפטיים, 17.09.2007) בפסקה לא'). בית המשפט נוטה לבחון את "</w:t>
      </w:r>
      <w:r w:rsidRPr="00FA1DB5">
        <w:rPr>
          <w:rFonts w:ascii="David" w:hAnsi="David"/>
          <w:b/>
          <w:bCs/>
          <w:noProof w:val="0"/>
          <w:rtl/>
        </w:rPr>
        <w:t>יומו בבית-המשפט</w:t>
      </w:r>
      <w:r w:rsidRPr="00FA1DB5">
        <w:rPr>
          <w:rFonts w:ascii="David" w:hAnsi="David"/>
          <w:noProof w:val="0"/>
          <w:rtl/>
        </w:rPr>
        <w:t>" של בעל הדין, שכלפיו מועלית טענת ההשתק, כאשר מדובר בהליך שיפוטי בעל פרוצדורה מזורזת ופשוטה, כותבת המחברת, כי אז אפשר שפרוצדורה זו גורמת להטלת ספק ביכולתו של בעל הדין למצות את ההתדיינות באותה פלוגתא במסגרת הליך מזורז מסוג זה ויש מקום לשקול את האפשרות שלא יינתן כוח מחייב לממצא שנקבע כאשר שבה אותה פלוגתא ועולה בהתדיינות אחרת, הנוהגת על פי כללי פרוצדורה מקובלים ורגילים (ראו: המלומדת נינה זלצמן, בספרה "</w:t>
      </w:r>
      <w:r w:rsidRPr="00FA1DB5">
        <w:rPr>
          <w:rFonts w:ascii="David" w:hAnsi="David"/>
          <w:b/>
          <w:bCs/>
          <w:noProof w:val="0"/>
          <w:rtl/>
        </w:rPr>
        <w:t>מעשה בית דין בהליך אזרחי</w:t>
      </w:r>
      <w:r w:rsidRPr="00FA1DB5">
        <w:rPr>
          <w:rFonts w:ascii="David" w:hAnsi="David"/>
          <w:noProof w:val="0"/>
          <w:rtl/>
        </w:rPr>
        <w:t xml:space="preserve">" (תשנ"א) לעניין "יומו של בעל דין בבית המשפט" בעמ'176, 18 - 19) כאמור, </w:t>
      </w:r>
      <w:r w:rsidRPr="00FA1DB5">
        <w:rPr>
          <w:rFonts w:ascii="David" w:hAnsi="David"/>
          <w:b/>
          <w:bCs/>
          <w:noProof w:val="0"/>
          <w:u w:val="single"/>
          <w:rtl/>
        </w:rPr>
        <w:t>זה לא המקרה שבפנינו</w:t>
      </w:r>
      <w:r w:rsidRPr="00FA1DB5">
        <w:rPr>
          <w:rFonts w:ascii="David" w:hAnsi="David"/>
          <w:noProof w:val="0"/>
          <w:rtl/>
        </w:rPr>
        <w:t>.</w:t>
      </w:r>
      <w:r w:rsidRPr="00FA1DB5">
        <w:rPr>
          <w:rFonts w:ascii="David" w:hAnsi="David"/>
          <w:noProof w:val="0"/>
          <w:rtl/>
        </w:rPr>
        <w:tab/>
      </w:r>
    </w:p>
    <w:p w:rsidR="00FA1DB5" w:rsidRPr="00FA1DB5" w:rsidRDefault="00FA1DB5" w:rsidP="00FA1DB5">
      <w:pPr>
        <w:spacing w:line="360" w:lineRule="auto"/>
        <w:ind w:left="720"/>
        <w:jc w:val="both"/>
        <w:rPr>
          <w:rFonts w:ascii="David" w:hAnsi="David"/>
          <w:noProof w:val="0"/>
        </w:rPr>
      </w:pPr>
    </w:p>
    <w:p w:rsidR="00FA1DB5" w:rsidRPr="00FA1DB5" w:rsidRDefault="00FA1DB5" w:rsidP="00B011B6">
      <w:pPr>
        <w:numPr>
          <w:ilvl w:val="0"/>
          <w:numId w:val="1"/>
        </w:numPr>
        <w:spacing w:after="160" w:line="360" w:lineRule="auto"/>
        <w:jc w:val="both"/>
        <w:rPr>
          <w:rFonts w:ascii="David" w:eastAsia="Calibri" w:hAnsi="David"/>
          <w:noProof w:val="0"/>
        </w:rPr>
      </w:pPr>
      <w:r w:rsidRPr="00FA1DB5">
        <w:rPr>
          <w:rFonts w:ascii="David" w:hAnsi="David"/>
          <w:b/>
          <w:bCs/>
          <w:noProof w:val="0"/>
          <w:u w:val="single"/>
          <w:rtl/>
        </w:rPr>
        <w:t>בענייננו,</w:t>
      </w:r>
      <w:r w:rsidRPr="00FA1DB5">
        <w:rPr>
          <w:rFonts w:ascii="David" w:hAnsi="David"/>
          <w:noProof w:val="0"/>
          <w:rtl/>
        </w:rPr>
        <w:t xml:space="preserve"> </w:t>
      </w:r>
      <w:r w:rsidR="00424BC8">
        <w:rPr>
          <w:rFonts w:ascii="David" w:hAnsi="David" w:hint="cs"/>
          <w:noProof w:val="0"/>
          <w:rtl/>
        </w:rPr>
        <w:t xml:space="preserve"> </w:t>
      </w:r>
      <w:r w:rsidRPr="00FA1DB5">
        <w:rPr>
          <w:rFonts w:ascii="David" w:hAnsi="David"/>
          <w:noProof w:val="0"/>
          <w:rtl/>
        </w:rPr>
        <w:t>בית המשפט המחוזי</w:t>
      </w:r>
      <w:r w:rsidR="00424BC8">
        <w:rPr>
          <w:rFonts w:ascii="David" w:hAnsi="David" w:hint="cs"/>
          <w:noProof w:val="0"/>
          <w:rtl/>
        </w:rPr>
        <w:t xml:space="preserve">, </w:t>
      </w:r>
      <w:r w:rsidRPr="00FA1DB5">
        <w:rPr>
          <w:rFonts w:ascii="David" w:hAnsi="David"/>
          <w:noProof w:val="0"/>
          <w:rtl/>
        </w:rPr>
        <w:t xml:space="preserve">בעמ"ש 7009-09-13, </w:t>
      </w:r>
      <w:r w:rsidR="00424BC8">
        <w:rPr>
          <w:rFonts w:ascii="David" w:eastAsia="Calibri" w:hAnsi="David"/>
          <w:noProof w:val="0"/>
          <w:rtl/>
        </w:rPr>
        <w:t>היה מודע לקביע</w:t>
      </w:r>
      <w:r w:rsidR="00424BC8">
        <w:rPr>
          <w:rFonts w:ascii="David" w:eastAsia="Calibri" w:hAnsi="David" w:hint="cs"/>
          <w:noProof w:val="0"/>
          <w:rtl/>
        </w:rPr>
        <w:t xml:space="preserve">ה בבית המשפט למשפחה, לפיה הצוואה בוטלה, </w:t>
      </w:r>
      <w:r w:rsidRPr="00FA1DB5">
        <w:rPr>
          <w:rFonts w:ascii="David" w:eastAsia="Calibri" w:hAnsi="David"/>
          <w:noProof w:val="0"/>
          <w:rtl/>
        </w:rPr>
        <w:t xml:space="preserve"> שקל אותה בין שיקוליו, וחרף זאת ראה לקבוע כי הצוואה תקפה</w:t>
      </w:r>
      <w:r w:rsidRPr="00FA1DB5">
        <w:rPr>
          <w:rFonts w:ascii="David" w:hAnsi="David"/>
          <w:noProof w:val="0"/>
          <w:rtl/>
        </w:rPr>
        <w:t xml:space="preserve">. </w:t>
      </w:r>
      <w:r w:rsidR="00474E6D">
        <w:rPr>
          <w:rFonts w:ascii="David" w:hAnsi="David"/>
          <w:noProof w:val="0"/>
          <w:rtl/>
        </w:rPr>
        <w:t>אלמונית 1</w:t>
      </w:r>
      <w:r w:rsidRPr="00FA1DB5">
        <w:rPr>
          <w:rFonts w:ascii="David" w:hAnsi="David"/>
          <w:noProof w:val="0"/>
          <w:rtl/>
        </w:rPr>
        <w:t xml:space="preserve"> הייתה מודעת לקביעה זו ו</w:t>
      </w:r>
      <w:r w:rsidR="00424BC8">
        <w:rPr>
          <w:rFonts w:ascii="David" w:eastAsia="Calibri" w:hAnsi="David"/>
          <w:noProof w:val="0"/>
          <w:rtl/>
        </w:rPr>
        <w:t>נקטה בהליך מס'  7663-08-16</w:t>
      </w:r>
      <w:r w:rsidR="00424BC8">
        <w:rPr>
          <w:rFonts w:ascii="David" w:eastAsia="Calibri" w:hAnsi="David" w:hint="cs"/>
          <w:noProof w:val="0"/>
          <w:rtl/>
        </w:rPr>
        <w:t xml:space="preserve">.  </w:t>
      </w:r>
      <w:r w:rsidR="00424BC8" w:rsidRPr="00B011B6">
        <w:rPr>
          <w:rFonts w:ascii="David" w:eastAsia="Calibri" w:hAnsi="David" w:hint="cs"/>
          <w:b/>
          <w:bCs/>
          <w:noProof w:val="0"/>
          <w:u w:val="single"/>
          <w:rtl/>
        </w:rPr>
        <w:t xml:space="preserve">נקבע כממצא כי </w:t>
      </w:r>
      <w:r w:rsidR="00474E6D">
        <w:rPr>
          <w:rFonts w:ascii="David" w:eastAsia="Calibri" w:hAnsi="David"/>
          <w:b/>
          <w:bCs/>
          <w:noProof w:val="0"/>
          <w:u w:val="single"/>
          <w:rtl/>
        </w:rPr>
        <w:t>אלמונית 1</w:t>
      </w:r>
      <w:r w:rsidRPr="00B011B6">
        <w:rPr>
          <w:rFonts w:ascii="David" w:eastAsia="Calibri" w:hAnsi="David"/>
          <w:b/>
          <w:bCs/>
          <w:noProof w:val="0"/>
          <w:u w:val="single"/>
          <w:rtl/>
        </w:rPr>
        <w:t xml:space="preserve"> הגיעה להסכמה עם אחיה </w:t>
      </w:r>
      <w:r w:rsidR="00474E6D">
        <w:rPr>
          <w:rFonts w:ascii="David" w:eastAsia="Calibri" w:hAnsi="David"/>
          <w:b/>
          <w:bCs/>
          <w:noProof w:val="0"/>
          <w:u w:val="single"/>
          <w:rtl/>
        </w:rPr>
        <w:t>אלמוני</w:t>
      </w:r>
      <w:r w:rsidRPr="00B011B6">
        <w:rPr>
          <w:rFonts w:ascii="David" w:eastAsia="Calibri" w:hAnsi="David"/>
          <w:b/>
          <w:bCs/>
          <w:noProof w:val="0"/>
          <w:u w:val="single"/>
          <w:rtl/>
        </w:rPr>
        <w:t xml:space="preserve">, ורק משזה לא קיים, לשיטתה, </w:t>
      </w:r>
      <w:r w:rsidR="00424BC8" w:rsidRPr="00B011B6">
        <w:rPr>
          <w:rFonts w:ascii="David" w:eastAsia="Calibri" w:hAnsi="David" w:hint="cs"/>
          <w:b/>
          <w:bCs/>
          <w:noProof w:val="0"/>
          <w:u w:val="single"/>
          <w:rtl/>
        </w:rPr>
        <w:t xml:space="preserve">את </w:t>
      </w:r>
      <w:r w:rsidRPr="00B011B6">
        <w:rPr>
          <w:rFonts w:ascii="David" w:eastAsia="Calibri" w:hAnsi="David"/>
          <w:b/>
          <w:bCs/>
          <w:noProof w:val="0"/>
          <w:u w:val="single"/>
          <w:rtl/>
        </w:rPr>
        <w:t>הבטחתו כלפיה, חזרה בה מהסכמתה.</w:t>
      </w:r>
      <w:r w:rsidRPr="00FA1DB5">
        <w:rPr>
          <w:rFonts w:ascii="David" w:eastAsia="Calibri" w:hAnsi="David"/>
          <w:noProof w:val="0"/>
          <w:rtl/>
        </w:rPr>
        <w:t xml:space="preserve"> </w:t>
      </w:r>
      <w:r w:rsidR="00B011B6">
        <w:rPr>
          <w:rFonts w:ascii="David" w:eastAsia="Calibri" w:hAnsi="David" w:hint="cs"/>
          <w:noProof w:val="0"/>
          <w:rtl/>
        </w:rPr>
        <w:t xml:space="preserve"> </w:t>
      </w:r>
      <w:r w:rsidRPr="00FA1DB5">
        <w:rPr>
          <w:rFonts w:ascii="David" w:eastAsia="Calibri" w:hAnsi="David"/>
          <w:noProof w:val="0"/>
          <w:rtl/>
        </w:rPr>
        <w:t>ב</w:t>
      </w:r>
      <w:r w:rsidR="00424BC8">
        <w:rPr>
          <w:rFonts w:ascii="David" w:eastAsia="Calibri" w:hAnsi="David" w:hint="cs"/>
          <w:noProof w:val="0"/>
          <w:rtl/>
        </w:rPr>
        <w:t>י</w:t>
      </w:r>
      <w:r w:rsidRPr="00FA1DB5">
        <w:rPr>
          <w:rFonts w:ascii="David" w:eastAsia="Calibri" w:hAnsi="David"/>
          <w:noProof w:val="0"/>
          <w:rtl/>
        </w:rPr>
        <w:t xml:space="preserve">ת המשפט דחה את התביעה בת.ע 7663-08-16, נקבע  כי לא רצון המנוחה הוא שעל הפרק, כי אם הפרת </w:t>
      </w:r>
      <w:r w:rsidR="00B011B6">
        <w:rPr>
          <w:rFonts w:ascii="David" w:eastAsia="Calibri" w:hAnsi="David" w:hint="cs"/>
          <w:noProof w:val="0"/>
          <w:rtl/>
        </w:rPr>
        <w:t xml:space="preserve">ההבטחה </w:t>
      </w:r>
      <w:r w:rsidRPr="00FA1DB5">
        <w:rPr>
          <w:rFonts w:ascii="David" w:eastAsia="Calibri" w:hAnsi="David"/>
          <w:noProof w:val="0"/>
          <w:rtl/>
        </w:rPr>
        <w:t>הנטענת</w:t>
      </w:r>
      <w:r w:rsidR="00B011B6">
        <w:rPr>
          <w:rFonts w:ascii="David" w:eastAsia="Calibri" w:hAnsi="David" w:hint="cs"/>
          <w:noProof w:val="0"/>
          <w:rtl/>
        </w:rPr>
        <w:t xml:space="preserve"> של האח</w:t>
      </w:r>
      <w:r w:rsidRPr="00FA1DB5">
        <w:rPr>
          <w:rFonts w:ascii="David" w:eastAsia="Calibri" w:hAnsi="David"/>
          <w:noProof w:val="0"/>
          <w:rtl/>
        </w:rPr>
        <w:t xml:space="preserve">. </w:t>
      </w:r>
      <w:r w:rsidR="00424BC8">
        <w:rPr>
          <w:rFonts w:ascii="David" w:eastAsia="Calibri" w:hAnsi="David" w:hint="cs"/>
          <w:noProof w:val="0"/>
          <w:rtl/>
        </w:rPr>
        <w:t xml:space="preserve">  בתיק </w:t>
      </w:r>
      <w:r w:rsidRPr="00FA1DB5">
        <w:rPr>
          <w:rFonts w:ascii="David" w:eastAsia="Calibri" w:hAnsi="David"/>
          <w:noProof w:val="0"/>
          <w:rtl/>
        </w:rPr>
        <w:t xml:space="preserve">ת.ע 7663-08-16 </w:t>
      </w:r>
      <w:r w:rsidR="00424BC8">
        <w:rPr>
          <w:rFonts w:ascii="David" w:eastAsia="Calibri" w:hAnsi="David" w:hint="cs"/>
          <w:noProof w:val="0"/>
          <w:rtl/>
        </w:rPr>
        <w:t xml:space="preserve">נדונו </w:t>
      </w:r>
      <w:r w:rsidR="00424BC8">
        <w:rPr>
          <w:rFonts w:ascii="David" w:eastAsia="Calibri" w:hAnsi="David" w:hint="cs"/>
          <w:b/>
          <w:bCs/>
          <w:noProof w:val="0"/>
          <w:u w:val="single"/>
          <w:rtl/>
        </w:rPr>
        <w:t>ט</w:t>
      </w:r>
      <w:r w:rsidRPr="00FA1DB5">
        <w:rPr>
          <w:rFonts w:ascii="David" w:eastAsia="Calibri" w:hAnsi="David"/>
          <w:b/>
          <w:bCs/>
          <w:noProof w:val="0"/>
          <w:u w:val="single"/>
          <w:rtl/>
        </w:rPr>
        <w:t>ענות זהות</w:t>
      </w:r>
      <w:r w:rsidRPr="00FA1DB5">
        <w:rPr>
          <w:rFonts w:ascii="David" w:eastAsia="Calibri" w:hAnsi="David"/>
          <w:noProof w:val="0"/>
          <w:rtl/>
        </w:rPr>
        <w:t xml:space="preserve"> לאלו הנדונות עתה</w:t>
      </w:r>
      <w:r w:rsidR="00424BC8">
        <w:rPr>
          <w:rFonts w:ascii="David" w:eastAsia="Calibri" w:hAnsi="David" w:hint="cs"/>
          <w:noProof w:val="0"/>
          <w:rtl/>
        </w:rPr>
        <w:t xml:space="preserve">.  גם שם, הלינה </w:t>
      </w:r>
      <w:r w:rsidR="00474E6D">
        <w:rPr>
          <w:rFonts w:ascii="David" w:eastAsia="Calibri" w:hAnsi="David"/>
          <w:noProof w:val="0"/>
          <w:rtl/>
        </w:rPr>
        <w:t>אלמונית 1</w:t>
      </w:r>
      <w:r w:rsidRPr="00FA1DB5">
        <w:rPr>
          <w:rFonts w:ascii="David" w:eastAsia="Calibri" w:hAnsi="David"/>
          <w:noProof w:val="0"/>
          <w:rtl/>
        </w:rPr>
        <w:t xml:space="preserve"> כי נפקד מקומה מההליכים, כי הצוואה חוטאת לרצון המנוחה, וההליך חורג מיחסי האחים לבדם.</w:t>
      </w:r>
      <w:r w:rsidRPr="00FA1DB5">
        <w:rPr>
          <w:rFonts w:ascii="David" w:hAnsi="David"/>
          <w:noProof w:val="0"/>
          <w:rtl/>
        </w:rPr>
        <w:t xml:space="preserve"> </w:t>
      </w:r>
      <w:r w:rsidRPr="00FA1DB5">
        <w:rPr>
          <w:rFonts w:ascii="David" w:eastAsia="Calibri" w:hAnsi="David"/>
          <w:noProof w:val="0"/>
          <w:rtl/>
        </w:rPr>
        <w:t xml:space="preserve">ערעור שהוגש על הכרעה זו נדחה אף הוא והפך הוא לחלוט. </w:t>
      </w:r>
      <w:r w:rsidR="00424BC8">
        <w:rPr>
          <w:rFonts w:ascii="David" w:eastAsia="Calibri" w:hAnsi="David" w:hint="cs"/>
          <w:noProof w:val="0"/>
          <w:rtl/>
        </w:rPr>
        <w:t xml:space="preserve">  </w:t>
      </w:r>
      <w:r w:rsidRPr="00FA1DB5">
        <w:rPr>
          <w:rFonts w:ascii="David" w:eastAsia="Calibri" w:hAnsi="David"/>
          <w:b/>
          <w:bCs/>
          <w:noProof w:val="0"/>
          <w:u w:val="single"/>
          <w:rtl/>
        </w:rPr>
        <w:t xml:space="preserve">זאת </w:t>
      </w:r>
      <w:r w:rsidR="00424BC8">
        <w:rPr>
          <w:rFonts w:ascii="David" w:eastAsia="Calibri" w:hAnsi="David" w:hint="cs"/>
          <w:b/>
          <w:bCs/>
          <w:noProof w:val="0"/>
          <w:u w:val="single"/>
          <w:rtl/>
        </w:rPr>
        <w:t xml:space="preserve">ועוד, </w:t>
      </w:r>
      <w:r w:rsidR="00424BC8">
        <w:rPr>
          <w:rFonts w:ascii="David" w:eastAsia="Calibri" w:hAnsi="David" w:hint="cs"/>
          <w:noProof w:val="0"/>
          <w:rtl/>
        </w:rPr>
        <w:t xml:space="preserve"> </w:t>
      </w:r>
      <w:r w:rsidRPr="00FA1DB5">
        <w:rPr>
          <w:rFonts w:ascii="David" w:eastAsia="Calibri" w:hAnsi="David"/>
          <w:noProof w:val="0"/>
          <w:rtl/>
        </w:rPr>
        <w:t xml:space="preserve">ביום 23.9.2019, ניתנה החלטה בת"ע 31165-03-19 (בקשה לסילוק על הסף), </w:t>
      </w:r>
      <w:r w:rsidR="00424BC8">
        <w:rPr>
          <w:rFonts w:ascii="David" w:eastAsia="Calibri" w:hAnsi="David" w:hint="cs"/>
          <w:noProof w:val="0"/>
          <w:rtl/>
        </w:rPr>
        <w:t xml:space="preserve"> כב' הש' ברגר </w:t>
      </w:r>
      <w:r w:rsidRPr="00FA1DB5">
        <w:rPr>
          <w:rFonts w:ascii="David" w:eastAsia="Calibri" w:hAnsi="David"/>
          <w:noProof w:val="0"/>
          <w:rtl/>
        </w:rPr>
        <w:t>בחן</w:t>
      </w:r>
      <w:r w:rsidR="00424BC8">
        <w:rPr>
          <w:rFonts w:ascii="David" w:eastAsia="Calibri" w:hAnsi="David" w:hint="cs"/>
          <w:noProof w:val="0"/>
          <w:rtl/>
        </w:rPr>
        <w:t xml:space="preserve"> את</w:t>
      </w:r>
      <w:r w:rsidRPr="00FA1DB5">
        <w:rPr>
          <w:rFonts w:ascii="David" w:eastAsia="Calibri" w:hAnsi="David"/>
          <w:noProof w:val="0"/>
          <w:rtl/>
        </w:rPr>
        <w:t xml:space="preserve"> הוראות סעיף 72 לחוק הירושה, והחילן על הצוואה </w:t>
      </w:r>
      <w:r w:rsidR="00424BC8">
        <w:rPr>
          <w:rFonts w:ascii="David" w:eastAsia="Calibri" w:hAnsi="David" w:hint="cs"/>
          <w:noProof w:val="0"/>
          <w:rtl/>
        </w:rPr>
        <w:t>ש</w:t>
      </w:r>
      <w:r w:rsidRPr="00FA1DB5">
        <w:rPr>
          <w:rFonts w:ascii="David" w:eastAsia="Calibri" w:hAnsi="David"/>
          <w:noProof w:val="0"/>
          <w:rtl/>
        </w:rPr>
        <w:t xml:space="preserve">אושרה ע"י בית המשפט המחוזי בהליך הערעור בעמ"ש 7009-09-13 . </w:t>
      </w:r>
      <w:r w:rsidRPr="00424BC8">
        <w:rPr>
          <w:rFonts w:ascii="David" w:eastAsia="Calibri" w:hAnsi="David"/>
          <w:b/>
          <w:bCs/>
          <w:noProof w:val="0"/>
          <w:u w:val="single"/>
          <w:rtl/>
        </w:rPr>
        <w:t xml:space="preserve">נקבע, כי </w:t>
      </w:r>
      <w:r w:rsidR="00474E6D">
        <w:rPr>
          <w:rFonts w:ascii="David" w:eastAsia="Calibri" w:hAnsi="David"/>
          <w:b/>
          <w:bCs/>
          <w:noProof w:val="0"/>
          <w:u w:val="single"/>
          <w:rtl/>
        </w:rPr>
        <w:t>אלמונית 1</w:t>
      </w:r>
      <w:r w:rsidRPr="00424BC8">
        <w:rPr>
          <w:rFonts w:ascii="David" w:eastAsia="Calibri" w:hAnsi="David"/>
          <w:b/>
          <w:bCs/>
          <w:noProof w:val="0"/>
          <w:u w:val="single"/>
          <w:rtl/>
        </w:rPr>
        <w:t xml:space="preserve"> היתה מודעת להליך צו הקיום, ושיתפה פעולה עם </w:t>
      </w:r>
      <w:r w:rsidR="00474E6D">
        <w:rPr>
          <w:rFonts w:ascii="David" w:eastAsia="Calibri" w:hAnsi="David"/>
          <w:b/>
          <w:bCs/>
          <w:noProof w:val="0"/>
          <w:u w:val="single"/>
          <w:rtl/>
        </w:rPr>
        <w:t>אלמוני</w:t>
      </w:r>
      <w:r w:rsidRPr="00424BC8">
        <w:rPr>
          <w:rFonts w:ascii="David" w:eastAsia="Calibri" w:hAnsi="David"/>
          <w:b/>
          <w:bCs/>
          <w:noProof w:val="0"/>
          <w:u w:val="single"/>
          <w:rtl/>
        </w:rPr>
        <w:t xml:space="preserve">, כנגד ההתנגדות שהוגשה לקיום הצוואה ע"י </w:t>
      </w:r>
      <w:r w:rsidR="00474E6D">
        <w:rPr>
          <w:rFonts w:ascii="David" w:eastAsia="Calibri" w:hAnsi="David"/>
          <w:b/>
          <w:bCs/>
          <w:noProof w:val="0"/>
          <w:u w:val="single"/>
          <w:rtl/>
        </w:rPr>
        <w:t>פלוני</w:t>
      </w:r>
      <w:r w:rsidRPr="00FA1DB5">
        <w:rPr>
          <w:rFonts w:ascii="David" w:eastAsia="Calibri" w:hAnsi="David"/>
          <w:noProof w:val="0"/>
          <w:rtl/>
        </w:rPr>
        <w:t xml:space="preserve">. </w:t>
      </w:r>
      <w:r w:rsidR="00424BC8">
        <w:rPr>
          <w:rFonts w:ascii="David" w:eastAsia="Calibri" w:hAnsi="David" w:hint="cs"/>
          <w:noProof w:val="0"/>
          <w:rtl/>
        </w:rPr>
        <w:t xml:space="preserve"> הש' ברגר </w:t>
      </w:r>
      <w:r w:rsidRPr="00FA1DB5">
        <w:rPr>
          <w:rFonts w:ascii="David" w:eastAsia="Calibri" w:hAnsi="David"/>
          <w:noProof w:val="0"/>
          <w:rtl/>
        </w:rPr>
        <w:t xml:space="preserve">הפנה בהחלטתו למכתב שנכתב על דעת כלל האחיות, ממנו ניתן ללמוד כי </w:t>
      </w:r>
      <w:r w:rsidR="00424BC8">
        <w:rPr>
          <w:rFonts w:ascii="David" w:eastAsia="Calibri" w:hAnsi="David" w:hint="cs"/>
          <w:noProof w:val="0"/>
          <w:rtl/>
        </w:rPr>
        <w:t>כולן היו</w:t>
      </w:r>
      <w:r w:rsidRPr="00FA1DB5">
        <w:rPr>
          <w:rFonts w:ascii="David" w:eastAsia="Calibri" w:hAnsi="David"/>
          <w:noProof w:val="0"/>
          <w:rtl/>
        </w:rPr>
        <w:t xml:space="preserve"> מודעות להליך, סברו כי הצוואה מבטאת את רצון המנוחה, וביקשו מבית המשפט ליתן לה צו קיום. </w:t>
      </w:r>
      <w:r w:rsidR="00474E6D">
        <w:rPr>
          <w:rFonts w:ascii="David" w:eastAsia="Calibri" w:hAnsi="David"/>
          <w:noProof w:val="0"/>
          <w:rtl/>
        </w:rPr>
        <w:t>אלמונית 1</w:t>
      </w:r>
      <w:r w:rsidRPr="00FA1DB5">
        <w:rPr>
          <w:rFonts w:ascii="David" w:eastAsia="Calibri" w:hAnsi="David"/>
          <w:noProof w:val="0"/>
          <w:rtl/>
        </w:rPr>
        <w:t xml:space="preserve"> אפוא, בהיותה מודעת להליך, יכולה היתה להעלות טענותיה בהליך ולא עשתה כן</w:t>
      </w:r>
      <w:r w:rsidR="00424BC8">
        <w:rPr>
          <w:rFonts w:ascii="David" w:eastAsia="Calibri" w:hAnsi="David" w:hint="cs"/>
          <w:noProof w:val="0"/>
          <w:rtl/>
        </w:rPr>
        <w:t xml:space="preserve">. </w:t>
      </w:r>
      <w:r w:rsidR="00474E6D">
        <w:rPr>
          <w:rFonts w:ascii="David" w:eastAsia="Calibri" w:hAnsi="David" w:hint="cs"/>
          <w:noProof w:val="0"/>
          <w:rtl/>
        </w:rPr>
        <w:t>אלמונית 1</w:t>
      </w:r>
      <w:r w:rsidR="00424BC8">
        <w:rPr>
          <w:rFonts w:ascii="David" w:eastAsia="Calibri" w:hAnsi="David" w:hint="cs"/>
          <w:noProof w:val="0"/>
          <w:rtl/>
        </w:rPr>
        <w:t xml:space="preserve"> צ</w:t>
      </w:r>
      <w:r w:rsidRPr="00FA1DB5">
        <w:rPr>
          <w:rFonts w:ascii="David" w:eastAsia="Calibri" w:hAnsi="David"/>
          <w:noProof w:val="0"/>
          <w:rtl/>
        </w:rPr>
        <w:t xml:space="preserve">ידדה בצוואה וסברה כי היא מבטאת </w:t>
      </w:r>
      <w:r w:rsidR="00424BC8">
        <w:rPr>
          <w:rFonts w:ascii="David" w:eastAsia="Calibri" w:hAnsi="David" w:hint="cs"/>
          <w:noProof w:val="0"/>
          <w:rtl/>
        </w:rPr>
        <w:t xml:space="preserve">את </w:t>
      </w:r>
      <w:r w:rsidRPr="00FA1DB5">
        <w:rPr>
          <w:rFonts w:ascii="David" w:eastAsia="Calibri" w:hAnsi="David"/>
          <w:noProof w:val="0"/>
          <w:rtl/>
        </w:rPr>
        <w:t>רצון המנוחה</w:t>
      </w:r>
      <w:r w:rsidR="00424BC8">
        <w:rPr>
          <w:rFonts w:ascii="David" w:eastAsia="Calibri" w:hAnsi="David" w:hint="cs"/>
          <w:noProof w:val="0"/>
          <w:rtl/>
        </w:rPr>
        <w:t xml:space="preserve">.  </w:t>
      </w:r>
      <w:r w:rsidRPr="00FA1DB5">
        <w:rPr>
          <w:rFonts w:ascii="David" w:eastAsia="Calibri" w:hAnsi="David"/>
          <w:noProof w:val="0"/>
          <w:rtl/>
        </w:rPr>
        <w:t>כעת טוענת</w:t>
      </w:r>
      <w:r w:rsidR="00424BC8">
        <w:rPr>
          <w:rFonts w:ascii="David" w:eastAsia="Calibri" w:hAnsi="David" w:hint="cs"/>
          <w:noProof w:val="0"/>
          <w:rtl/>
        </w:rPr>
        <w:t xml:space="preserve"> </w:t>
      </w:r>
      <w:r w:rsidR="00474E6D">
        <w:rPr>
          <w:rFonts w:ascii="David" w:eastAsia="Calibri" w:hAnsi="David" w:hint="cs"/>
          <w:noProof w:val="0"/>
          <w:rtl/>
        </w:rPr>
        <w:t>אלמונית 1</w:t>
      </w:r>
      <w:r w:rsidR="00424BC8">
        <w:rPr>
          <w:rFonts w:ascii="David" w:eastAsia="Calibri" w:hAnsi="David" w:hint="cs"/>
          <w:noProof w:val="0"/>
          <w:rtl/>
        </w:rPr>
        <w:t xml:space="preserve"> </w:t>
      </w:r>
      <w:r w:rsidR="000F364C">
        <w:rPr>
          <w:rFonts w:ascii="David" w:eastAsia="Calibri" w:hAnsi="David" w:hint="cs"/>
          <w:noProof w:val="0"/>
          <w:rtl/>
        </w:rPr>
        <w:t xml:space="preserve">את </w:t>
      </w:r>
      <w:r w:rsidRPr="00FA1DB5">
        <w:rPr>
          <w:rFonts w:ascii="David" w:eastAsia="Calibri" w:hAnsi="David"/>
          <w:noProof w:val="0"/>
          <w:rtl/>
        </w:rPr>
        <w:t>ההפך הגמור</w:t>
      </w:r>
      <w:r w:rsidR="000F364C">
        <w:rPr>
          <w:rFonts w:ascii="David" w:eastAsia="Calibri" w:hAnsi="David" w:hint="cs"/>
          <w:noProof w:val="0"/>
          <w:rtl/>
        </w:rPr>
        <w:t xml:space="preserve">.   </w:t>
      </w:r>
      <w:r w:rsidRPr="00FA1DB5">
        <w:rPr>
          <w:rFonts w:ascii="David" w:eastAsia="Calibri" w:hAnsi="David"/>
          <w:noProof w:val="0"/>
          <w:rtl/>
        </w:rPr>
        <w:t xml:space="preserve">לא </w:t>
      </w:r>
      <w:r w:rsidR="000F364C">
        <w:rPr>
          <w:rFonts w:ascii="David" w:eastAsia="Calibri" w:hAnsi="David" w:hint="cs"/>
          <w:noProof w:val="0"/>
          <w:rtl/>
        </w:rPr>
        <w:t xml:space="preserve">זו בלבד </w:t>
      </w:r>
      <w:r w:rsidRPr="00FA1DB5">
        <w:rPr>
          <w:rFonts w:ascii="David" w:eastAsia="Calibri" w:hAnsi="David"/>
          <w:noProof w:val="0"/>
          <w:rtl/>
        </w:rPr>
        <w:t>שהדבר מעלה קושי לגבי טענותיה, אלא שעל פניו מקים</w:t>
      </w:r>
      <w:r w:rsidR="000F364C">
        <w:rPr>
          <w:rFonts w:ascii="David" w:eastAsia="Calibri" w:hAnsi="David" w:hint="cs"/>
          <w:noProof w:val="0"/>
          <w:rtl/>
        </w:rPr>
        <w:t xml:space="preserve"> הדבר טענת </w:t>
      </w:r>
      <w:r w:rsidRPr="00FA1DB5">
        <w:rPr>
          <w:rFonts w:ascii="David" w:eastAsia="Calibri" w:hAnsi="David"/>
          <w:noProof w:val="0"/>
          <w:rtl/>
        </w:rPr>
        <w:t xml:space="preserve">השתק. </w:t>
      </w:r>
      <w:r w:rsidR="000F364C">
        <w:rPr>
          <w:rFonts w:ascii="David" w:eastAsia="Calibri" w:hAnsi="David" w:hint="cs"/>
          <w:noProof w:val="0"/>
          <w:rtl/>
        </w:rPr>
        <w:t xml:space="preserve">  </w:t>
      </w:r>
      <w:r w:rsidRPr="00FA1DB5">
        <w:rPr>
          <w:rFonts w:ascii="David" w:eastAsia="Calibri" w:hAnsi="David"/>
          <w:noProof w:val="0"/>
          <w:rtl/>
        </w:rPr>
        <w:t xml:space="preserve">בית המשפט הפנה לעובדה כי בקשת צו קיום הצוואה נשלחה כדין לכלל היורשים, לרבות </w:t>
      </w:r>
      <w:r w:rsidR="00474E6D">
        <w:rPr>
          <w:rFonts w:ascii="David" w:eastAsia="Calibri" w:hAnsi="David"/>
          <w:noProof w:val="0"/>
          <w:rtl/>
        </w:rPr>
        <w:t>אלמונית 1</w:t>
      </w:r>
      <w:r w:rsidR="000F364C">
        <w:rPr>
          <w:rFonts w:ascii="David" w:eastAsia="Calibri" w:hAnsi="David" w:hint="cs"/>
          <w:noProof w:val="0"/>
          <w:rtl/>
        </w:rPr>
        <w:t xml:space="preserve">, </w:t>
      </w:r>
      <w:r w:rsidRPr="00FA1DB5">
        <w:rPr>
          <w:rFonts w:ascii="David" w:eastAsia="Calibri" w:hAnsi="David"/>
          <w:noProof w:val="0"/>
          <w:rtl/>
        </w:rPr>
        <w:t>ש</w:t>
      </w:r>
      <w:r w:rsidR="000F364C">
        <w:rPr>
          <w:rFonts w:ascii="David" w:eastAsia="Calibri" w:hAnsi="David" w:hint="cs"/>
          <w:noProof w:val="0"/>
          <w:rtl/>
        </w:rPr>
        <w:t xml:space="preserve">היתה זכאית </w:t>
      </w:r>
      <w:r w:rsidRPr="00FA1DB5">
        <w:rPr>
          <w:rFonts w:ascii="David" w:eastAsia="Calibri" w:hAnsi="David"/>
          <w:noProof w:val="0"/>
          <w:rtl/>
        </w:rPr>
        <w:t>להגש</w:t>
      </w:r>
      <w:r w:rsidR="000F364C">
        <w:rPr>
          <w:rFonts w:ascii="David" w:eastAsia="Calibri" w:hAnsi="David" w:hint="cs"/>
          <w:noProof w:val="0"/>
          <w:rtl/>
        </w:rPr>
        <w:t>ת</w:t>
      </w:r>
      <w:r w:rsidRPr="00FA1DB5">
        <w:rPr>
          <w:rFonts w:ascii="David" w:eastAsia="Calibri" w:hAnsi="David"/>
          <w:noProof w:val="0"/>
          <w:rtl/>
        </w:rPr>
        <w:t xml:space="preserve"> התנגדות מטעמה, והיא לא עשתה</w:t>
      </w:r>
      <w:r w:rsidR="000F364C">
        <w:rPr>
          <w:rFonts w:ascii="David" w:eastAsia="Calibri" w:hAnsi="David" w:hint="cs"/>
          <w:noProof w:val="0"/>
          <w:rtl/>
        </w:rPr>
        <w:t xml:space="preserve"> כן</w:t>
      </w:r>
      <w:r w:rsidRPr="00FA1DB5">
        <w:rPr>
          <w:rFonts w:ascii="David" w:eastAsia="Calibri" w:hAnsi="David"/>
          <w:noProof w:val="0"/>
          <w:rtl/>
        </w:rPr>
        <w:t xml:space="preserve">. </w:t>
      </w:r>
      <w:r w:rsidR="000F364C">
        <w:rPr>
          <w:rFonts w:ascii="David" w:eastAsia="Calibri" w:hAnsi="David" w:hint="cs"/>
          <w:noProof w:val="0"/>
          <w:rtl/>
        </w:rPr>
        <w:t xml:space="preserve"> </w:t>
      </w:r>
      <w:r w:rsidRPr="00FA1DB5">
        <w:rPr>
          <w:rFonts w:ascii="David" w:eastAsia="Calibri" w:hAnsi="David"/>
          <w:noProof w:val="0"/>
          <w:rtl/>
        </w:rPr>
        <w:t xml:space="preserve">עוד נקבע </w:t>
      </w:r>
      <w:r w:rsidR="000F364C">
        <w:rPr>
          <w:rFonts w:ascii="David" w:eastAsia="Calibri" w:hAnsi="David" w:hint="cs"/>
          <w:noProof w:val="0"/>
          <w:rtl/>
        </w:rPr>
        <w:t xml:space="preserve">כי </w:t>
      </w:r>
      <w:r w:rsidRPr="00FA1DB5">
        <w:rPr>
          <w:rFonts w:ascii="David" w:eastAsia="Calibri" w:hAnsi="David"/>
          <w:noProof w:val="0"/>
          <w:rtl/>
        </w:rPr>
        <w:t xml:space="preserve">מעת שאישר בית המשפט המחוזי את הסכם הפשרה בעמ"ש 7009-09-13, </w:t>
      </w:r>
      <w:r w:rsidR="000F364C">
        <w:rPr>
          <w:rFonts w:ascii="David" w:eastAsia="Calibri" w:hAnsi="David" w:hint="cs"/>
          <w:noProof w:val="0"/>
          <w:rtl/>
        </w:rPr>
        <w:t xml:space="preserve">משמעות הדבר הנה מתן </w:t>
      </w:r>
      <w:r w:rsidRPr="00FA1DB5">
        <w:rPr>
          <w:rFonts w:ascii="David" w:eastAsia="Calibri" w:hAnsi="David"/>
          <w:noProof w:val="0"/>
          <w:rtl/>
        </w:rPr>
        <w:t>תוקף לצוואה</w:t>
      </w:r>
      <w:r w:rsidR="000F364C">
        <w:rPr>
          <w:rFonts w:ascii="David" w:eastAsia="Calibri" w:hAnsi="David" w:hint="cs"/>
          <w:noProof w:val="0"/>
          <w:rtl/>
        </w:rPr>
        <w:t xml:space="preserve">.   </w:t>
      </w:r>
      <w:r w:rsidRPr="00FA1DB5">
        <w:rPr>
          <w:rFonts w:ascii="David" w:eastAsia="Calibri" w:hAnsi="David"/>
          <w:noProof w:val="0"/>
          <w:rtl/>
        </w:rPr>
        <w:t>בית המשפט המחוזי היה מודע לקביעת הביטול, שקל אותה בין שיקוליו, וחרף זאת ראה לקבוע כי הצוואה תקפה</w:t>
      </w:r>
      <w:r w:rsidRPr="00FA1DB5">
        <w:rPr>
          <w:rFonts w:ascii="David" w:eastAsia="Calibri" w:hAnsi="David"/>
          <w:noProof w:val="0"/>
        </w:rPr>
        <w:t xml:space="preserve">. </w:t>
      </w:r>
      <w:r w:rsidRPr="00FA1DB5">
        <w:rPr>
          <w:rFonts w:ascii="David" w:eastAsia="Calibri" w:hAnsi="David"/>
          <w:noProof w:val="0"/>
          <w:rtl/>
        </w:rPr>
        <w:t>המועד לתקוף הכרעה זו חלף עבר (שכן נדרש ערעור לכב' בית המשפט העליון, בוודאי מעת היוודע ל</w:t>
      </w:r>
      <w:r w:rsidR="00474E6D">
        <w:rPr>
          <w:rFonts w:ascii="David" w:eastAsia="Calibri" w:hAnsi="David"/>
          <w:noProof w:val="0"/>
          <w:rtl/>
        </w:rPr>
        <w:t>אלמונית 1</w:t>
      </w:r>
      <w:r w:rsidRPr="00FA1DB5">
        <w:rPr>
          <w:rFonts w:ascii="David" w:eastAsia="Calibri" w:hAnsi="David"/>
          <w:noProof w:val="0"/>
          <w:rtl/>
        </w:rPr>
        <w:t xml:space="preserve"> על ההכרעה בעמ"ש 7009-09-13) .</w:t>
      </w:r>
      <w:r w:rsidR="000F364C">
        <w:rPr>
          <w:rFonts w:ascii="David" w:eastAsia="Calibri" w:hAnsi="David" w:hint="cs"/>
          <w:noProof w:val="0"/>
          <w:rtl/>
        </w:rPr>
        <w:t xml:space="preserve">  </w:t>
      </w:r>
      <w:r w:rsidR="00474E6D">
        <w:rPr>
          <w:rFonts w:ascii="David" w:eastAsia="Calibri" w:hAnsi="David"/>
          <w:noProof w:val="0"/>
          <w:rtl/>
        </w:rPr>
        <w:t>אלמונית 1</w:t>
      </w:r>
      <w:r w:rsidRPr="00FA1DB5">
        <w:rPr>
          <w:rFonts w:ascii="David" w:eastAsia="Calibri" w:hAnsi="David"/>
          <w:noProof w:val="0"/>
          <w:rtl/>
        </w:rPr>
        <w:t xml:space="preserve"> קבלה את יומה בבית המשפט</w:t>
      </w:r>
      <w:r w:rsidR="000F364C">
        <w:rPr>
          <w:rFonts w:ascii="David" w:eastAsia="Calibri" w:hAnsi="David" w:hint="cs"/>
          <w:noProof w:val="0"/>
          <w:rtl/>
        </w:rPr>
        <w:t>, כך גם בהתאם ל</w:t>
      </w:r>
      <w:r w:rsidRPr="00FA1DB5">
        <w:rPr>
          <w:rFonts w:ascii="David" w:eastAsia="Calibri" w:hAnsi="David"/>
          <w:noProof w:val="0"/>
          <w:rtl/>
        </w:rPr>
        <w:t xml:space="preserve">הכרעה בת.ע 7663-08-16 וכמובן </w:t>
      </w:r>
      <w:r w:rsidRPr="00FA1DB5">
        <w:rPr>
          <w:rFonts w:ascii="David" w:eastAsia="Calibri" w:hAnsi="David"/>
          <w:noProof w:val="0"/>
          <w:rtl/>
        </w:rPr>
        <w:lastRenderedPageBreak/>
        <w:t>פסק הדין שניתן בערעור עליו</w:t>
      </w:r>
      <w:r w:rsidR="000F364C">
        <w:rPr>
          <w:rFonts w:ascii="David" w:eastAsia="Calibri" w:hAnsi="David" w:hint="cs"/>
          <w:noProof w:val="0"/>
          <w:rtl/>
        </w:rPr>
        <w:t xml:space="preserve">.   </w:t>
      </w:r>
      <w:r w:rsidRPr="00FA1DB5">
        <w:rPr>
          <w:rFonts w:ascii="David" w:eastAsia="Calibri" w:hAnsi="David"/>
          <w:noProof w:val="0"/>
          <w:rtl/>
        </w:rPr>
        <w:t>טענות זהות לחלוטין לאלו שנטענו בהליך הנוכחי</w:t>
      </w:r>
      <w:r w:rsidR="000F364C">
        <w:rPr>
          <w:rFonts w:ascii="David" w:eastAsia="Calibri" w:hAnsi="David" w:hint="cs"/>
          <w:noProof w:val="0"/>
          <w:rtl/>
        </w:rPr>
        <w:t>,</w:t>
      </w:r>
      <w:r w:rsidRPr="00FA1DB5">
        <w:rPr>
          <w:rFonts w:ascii="David" w:eastAsia="Calibri" w:hAnsi="David"/>
          <w:noProof w:val="0"/>
          <w:rtl/>
        </w:rPr>
        <w:t xml:space="preserve"> נדנו אף הן  בת"ע 31165-03-19 שעליו הוגש ערעור במסגרת עמ"ש 21133-11-19 ובשתי הערכאות טענותיה נדחו. </w:t>
      </w:r>
      <w:r w:rsidR="000F364C">
        <w:rPr>
          <w:rFonts w:ascii="David" w:eastAsia="Calibri" w:hAnsi="David" w:hint="cs"/>
          <w:noProof w:val="0"/>
          <w:rtl/>
        </w:rPr>
        <w:t xml:space="preserve">  ל</w:t>
      </w:r>
      <w:r w:rsidRPr="00FA1DB5">
        <w:rPr>
          <w:rFonts w:ascii="David" w:eastAsia="Calibri" w:hAnsi="David"/>
          <w:noProof w:val="0"/>
          <w:rtl/>
        </w:rPr>
        <w:t>מותר לציין כי  במסגרת עמ"ש 21133-11-19 נקבע במפורש</w:t>
      </w:r>
      <w:r w:rsidR="000F364C">
        <w:rPr>
          <w:rFonts w:ascii="David" w:eastAsia="Calibri" w:hAnsi="David" w:hint="cs"/>
          <w:noProof w:val="0"/>
          <w:rtl/>
        </w:rPr>
        <w:t xml:space="preserve">, באופן </w:t>
      </w:r>
      <w:r w:rsidRPr="00FA1DB5">
        <w:rPr>
          <w:rFonts w:ascii="David" w:eastAsia="Calibri" w:hAnsi="David"/>
          <w:noProof w:val="0"/>
          <w:rtl/>
        </w:rPr>
        <w:t xml:space="preserve"> ש</w:t>
      </w:r>
      <w:r w:rsidR="000F364C">
        <w:rPr>
          <w:rFonts w:ascii="David" w:eastAsia="Calibri" w:hAnsi="David" w:hint="cs"/>
          <w:noProof w:val="0"/>
          <w:rtl/>
        </w:rPr>
        <w:t xml:space="preserve">אינו </w:t>
      </w:r>
      <w:r w:rsidRPr="00FA1DB5">
        <w:rPr>
          <w:rFonts w:ascii="David" w:eastAsia="Calibri" w:hAnsi="David"/>
          <w:noProof w:val="0"/>
          <w:rtl/>
        </w:rPr>
        <w:t xml:space="preserve">משתמע, כי קיים השתק (הן ביחס להשתתפות </w:t>
      </w:r>
      <w:r w:rsidR="00474E6D">
        <w:rPr>
          <w:rFonts w:ascii="David" w:eastAsia="Calibri" w:hAnsi="David"/>
          <w:noProof w:val="0"/>
          <w:rtl/>
        </w:rPr>
        <w:t>אלמונית 1</w:t>
      </w:r>
      <w:r w:rsidRPr="00FA1DB5">
        <w:rPr>
          <w:rFonts w:ascii="David" w:eastAsia="Calibri" w:hAnsi="David"/>
          <w:noProof w:val="0"/>
          <w:rtl/>
        </w:rPr>
        <w:t xml:space="preserve">  בהליך, והן ביחס לרצון המנוחה); קיים מעשה בי -דין ביחס לטענות שהועלו (ת"ע 7663-08-16)  ולא נפלה טעות משפטית בניתוח המצב בבית המשפט קמא בת"ע 31165-03-19.</w:t>
      </w:r>
    </w:p>
    <w:p w:rsidR="00FA1DB5" w:rsidRPr="00FA1DB5" w:rsidRDefault="00FA1DB5" w:rsidP="00FA1DB5">
      <w:pPr>
        <w:spacing w:line="360" w:lineRule="auto"/>
        <w:ind w:left="720"/>
        <w:jc w:val="both"/>
        <w:rPr>
          <w:rFonts w:ascii="David" w:eastAsia="Calibri" w:hAnsi="David"/>
          <w:noProof w:val="0"/>
        </w:rPr>
      </w:pPr>
    </w:p>
    <w:p w:rsidR="00FA1DB5" w:rsidRPr="00FA1DB5" w:rsidRDefault="00FA1DB5" w:rsidP="000F364C">
      <w:pPr>
        <w:numPr>
          <w:ilvl w:val="0"/>
          <w:numId w:val="1"/>
        </w:numPr>
        <w:spacing w:after="160" w:line="360" w:lineRule="auto"/>
        <w:jc w:val="both"/>
        <w:rPr>
          <w:rFonts w:ascii="David" w:eastAsia="Calibri" w:hAnsi="David"/>
          <w:noProof w:val="0"/>
        </w:rPr>
      </w:pPr>
      <w:r w:rsidRPr="00FA1DB5">
        <w:rPr>
          <w:rFonts w:ascii="David" w:eastAsia="Calibri" w:hAnsi="David"/>
          <w:noProof w:val="0"/>
          <w:rtl/>
        </w:rPr>
        <w:t xml:space="preserve">לאור המבואר לעיל, לא ניתן אלא לקבוע, כי טענות דומות וזהות נדנו לא פעם בהליכים קודמים, ובהליך האחרון שהתנהל בין הצדדים בת"ע 31165-03-19, נדחו כלל טענותיה של </w:t>
      </w:r>
      <w:r w:rsidR="00474E6D">
        <w:rPr>
          <w:rFonts w:ascii="David" w:eastAsia="Calibri" w:hAnsi="David"/>
          <w:noProof w:val="0"/>
          <w:rtl/>
        </w:rPr>
        <w:t>אלמונית 1</w:t>
      </w:r>
      <w:r w:rsidRPr="00FA1DB5">
        <w:rPr>
          <w:rFonts w:ascii="David" w:eastAsia="Calibri" w:hAnsi="David"/>
          <w:noProof w:val="0"/>
          <w:rtl/>
        </w:rPr>
        <w:t xml:space="preserve">. </w:t>
      </w:r>
      <w:r w:rsidR="000F364C">
        <w:rPr>
          <w:rFonts w:ascii="David" w:eastAsia="Calibri" w:hAnsi="David" w:hint="cs"/>
          <w:noProof w:val="0"/>
          <w:rtl/>
        </w:rPr>
        <w:t xml:space="preserve"> </w:t>
      </w:r>
      <w:r w:rsidRPr="00FA1DB5">
        <w:rPr>
          <w:rFonts w:ascii="David" w:eastAsia="Calibri" w:hAnsi="David"/>
          <w:noProof w:val="0"/>
          <w:rtl/>
        </w:rPr>
        <w:t>פסק הדין שניתן  עמ"ש 21133-11-19 – הינו הערעור שהוגש על ההחלטה בת"ע 31165-03-19 הותיר את הקביעה על כנה ולא התערב בממצאים</w:t>
      </w:r>
      <w:r w:rsidR="000F364C">
        <w:rPr>
          <w:rFonts w:ascii="David" w:eastAsia="Calibri" w:hAnsi="David" w:hint="cs"/>
          <w:noProof w:val="0"/>
          <w:rtl/>
        </w:rPr>
        <w:t xml:space="preserve">.  </w:t>
      </w:r>
      <w:r w:rsidRPr="00FA1DB5">
        <w:rPr>
          <w:rFonts w:ascii="David" w:eastAsia="Calibri" w:hAnsi="David"/>
          <w:noProof w:val="0"/>
          <w:rtl/>
        </w:rPr>
        <w:t>פועל יוצא</w:t>
      </w:r>
      <w:r w:rsidR="000F364C">
        <w:rPr>
          <w:rFonts w:ascii="David" w:eastAsia="Calibri" w:hAnsi="David" w:hint="cs"/>
          <w:noProof w:val="0"/>
          <w:rtl/>
        </w:rPr>
        <w:t>,</w:t>
      </w:r>
      <w:r w:rsidRPr="00FA1DB5">
        <w:rPr>
          <w:rFonts w:ascii="David" w:eastAsia="Calibri" w:hAnsi="David"/>
          <w:noProof w:val="0"/>
          <w:rtl/>
        </w:rPr>
        <w:t xml:space="preserve"> כי פסק הדין בעמ"ש 7009-09-13 המקיים את הצוואה, מעולם לא בוטל, ובכוונת אני נמנע מלציין את המילה "לא הותקף" כי אכן הותקף ע"י </w:t>
      </w:r>
      <w:r w:rsidR="00474E6D">
        <w:rPr>
          <w:rFonts w:ascii="David" w:eastAsia="Calibri" w:hAnsi="David"/>
          <w:noProof w:val="0"/>
          <w:rtl/>
        </w:rPr>
        <w:t>אלמונית 1</w:t>
      </w:r>
      <w:r w:rsidRPr="00FA1DB5">
        <w:rPr>
          <w:rFonts w:ascii="David" w:eastAsia="Calibri" w:hAnsi="David"/>
          <w:noProof w:val="0"/>
          <w:rtl/>
        </w:rPr>
        <w:t xml:space="preserve"> לא פעם, וכל ניסיונותיה לשנות דבר נדחו .</w:t>
      </w:r>
    </w:p>
    <w:p w:rsidR="00FA1DB5" w:rsidRPr="00FA1DB5" w:rsidRDefault="00FA1DB5" w:rsidP="00FA1DB5">
      <w:pPr>
        <w:spacing w:after="160" w:line="256" w:lineRule="auto"/>
        <w:ind w:left="720"/>
        <w:contextualSpacing/>
        <w:rPr>
          <w:rFonts w:ascii="David" w:eastAsia="Calibri" w:hAnsi="David"/>
          <w:noProof w:val="0"/>
        </w:rPr>
      </w:pPr>
    </w:p>
    <w:p w:rsidR="00FA1DB5" w:rsidRPr="000F364C" w:rsidRDefault="00FA1DB5" w:rsidP="0059365F">
      <w:pPr>
        <w:numPr>
          <w:ilvl w:val="0"/>
          <w:numId w:val="1"/>
        </w:numPr>
        <w:spacing w:after="160" w:line="360" w:lineRule="auto"/>
        <w:jc w:val="both"/>
        <w:rPr>
          <w:rFonts w:ascii="David" w:eastAsia="Calibri" w:hAnsi="David"/>
          <w:b/>
          <w:bCs/>
          <w:noProof w:val="0"/>
          <w:u w:val="single"/>
          <w:rtl/>
        </w:rPr>
      </w:pPr>
      <w:r w:rsidRPr="000F364C">
        <w:rPr>
          <w:rFonts w:ascii="David" w:eastAsia="Calibri" w:hAnsi="David"/>
          <w:b/>
          <w:bCs/>
          <w:noProof w:val="0"/>
          <w:u w:val="single"/>
          <w:rtl/>
        </w:rPr>
        <w:t xml:space="preserve">בנסיבות המפורטות לעיל,  לא נותר אלא להורות על ביטול צו הירושה שניתן ביום 22.11.2023 </w:t>
      </w:r>
      <w:r w:rsidR="0059365F">
        <w:rPr>
          <w:rFonts w:ascii="David" w:eastAsia="Calibri" w:hAnsi="David" w:hint="cs"/>
          <w:b/>
          <w:bCs/>
          <w:noProof w:val="0"/>
          <w:u w:val="single"/>
          <w:rtl/>
        </w:rPr>
        <w:t xml:space="preserve">זאת </w:t>
      </w:r>
      <w:r w:rsidRPr="000F364C">
        <w:rPr>
          <w:rFonts w:ascii="David" w:eastAsia="Calibri" w:hAnsi="David"/>
          <w:b/>
          <w:bCs/>
          <w:noProof w:val="0"/>
          <w:u w:val="single"/>
          <w:rtl/>
        </w:rPr>
        <w:t>מכוח קיומו של מעשה בי-דין ו</w:t>
      </w:r>
      <w:r w:rsidR="0059365F">
        <w:rPr>
          <w:rFonts w:ascii="David" w:eastAsia="Calibri" w:hAnsi="David" w:hint="cs"/>
          <w:b/>
          <w:bCs/>
          <w:noProof w:val="0"/>
          <w:u w:val="single"/>
          <w:rtl/>
        </w:rPr>
        <w:t>ק</w:t>
      </w:r>
      <w:r w:rsidRPr="000F364C">
        <w:rPr>
          <w:rFonts w:ascii="David" w:eastAsia="Calibri" w:hAnsi="David"/>
          <w:b/>
          <w:bCs/>
          <w:noProof w:val="0"/>
          <w:u w:val="single"/>
          <w:rtl/>
        </w:rPr>
        <w:t>יומו של צו קיום צוואת המנוחה</w:t>
      </w:r>
      <w:r w:rsidR="009675C8">
        <w:rPr>
          <w:rFonts w:ascii="David" w:eastAsia="Calibri" w:hAnsi="David" w:hint="cs"/>
          <w:b/>
          <w:bCs/>
          <w:noProof w:val="0"/>
          <w:u w:val="single"/>
          <w:rtl/>
        </w:rPr>
        <w:t xml:space="preserve">, שהנו </w:t>
      </w:r>
      <w:r w:rsidRPr="000F364C">
        <w:rPr>
          <w:rFonts w:ascii="David" w:eastAsia="Calibri" w:hAnsi="David"/>
          <w:b/>
          <w:bCs/>
          <w:noProof w:val="0"/>
          <w:u w:val="single"/>
          <w:rtl/>
        </w:rPr>
        <w:t xml:space="preserve"> תקף</w:t>
      </w:r>
      <w:r w:rsidR="009675C8">
        <w:rPr>
          <w:rFonts w:ascii="David" w:eastAsia="Calibri" w:hAnsi="David" w:hint="cs"/>
          <w:b/>
          <w:bCs/>
          <w:noProof w:val="0"/>
          <w:u w:val="single"/>
          <w:rtl/>
        </w:rPr>
        <w:t xml:space="preserve"> ומחייב לכל דבר ועניין.</w:t>
      </w:r>
      <w:r w:rsidRPr="000F364C">
        <w:rPr>
          <w:rFonts w:ascii="David" w:eastAsia="Calibri" w:hAnsi="David"/>
          <w:b/>
          <w:bCs/>
          <w:noProof w:val="0"/>
          <w:u w:val="single"/>
          <w:rtl/>
        </w:rPr>
        <w:t xml:space="preserve"> </w:t>
      </w:r>
    </w:p>
    <w:p w:rsidR="00FA1DB5" w:rsidRPr="00FA1DB5" w:rsidRDefault="00FA1DB5" w:rsidP="00FA1DB5">
      <w:pPr>
        <w:spacing w:after="160" w:line="256" w:lineRule="auto"/>
        <w:ind w:left="720"/>
        <w:contextualSpacing/>
        <w:rPr>
          <w:rFonts w:ascii="David" w:eastAsia="Calibri" w:hAnsi="David"/>
          <w:noProof w:val="0"/>
        </w:rPr>
      </w:pPr>
    </w:p>
    <w:p w:rsidR="00FA1DB5" w:rsidRPr="00FA1DB5" w:rsidRDefault="00FA1DB5" w:rsidP="009068FF">
      <w:pPr>
        <w:numPr>
          <w:ilvl w:val="0"/>
          <w:numId w:val="1"/>
        </w:numPr>
        <w:spacing w:after="160" w:line="360" w:lineRule="auto"/>
        <w:jc w:val="both"/>
        <w:rPr>
          <w:rFonts w:ascii="David" w:eastAsia="Calibri" w:hAnsi="David"/>
          <w:noProof w:val="0"/>
          <w:rtl/>
        </w:rPr>
      </w:pPr>
      <w:r w:rsidRPr="00FA1DB5">
        <w:rPr>
          <w:rFonts w:ascii="David" w:eastAsia="Calibri" w:hAnsi="David"/>
          <w:noProof w:val="0"/>
          <w:rtl/>
        </w:rPr>
        <w:t xml:space="preserve">כאן המקום לציין, כי איני נדרש כלל לסוגית ההמצאה של הבקשה למתן צו ירושה ועניין מהימנות אישור המסירה, </w:t>
      </w:r>
      <w:r w:rsidR="009675C8">
        <w:rPr>
          <w:rFonts w:ascii="David" w:eastAsia="Calibri" w:hAnsi="David" w:hint="cs"/>
          <w:noProof w:val="0"/>
          <w:rtl/>
        </w:rPr>
        <w:t xml:space="preserve">שכן, </w:t>
      </w:r>
      <w:r w:rsidRPr="00FA1DB5">
        <w:rPr>
          <w:rFonts w:ascii="David" w:eastAsia="Calibri" w:hAnsi="David"/>
          <w:noProof w:val="0"/>
          <w:rtl/>
        </w:rPr>
        <w:t xml:space="preserve">אין בכוחן של טענות </w:t>
      </w:r>
      <w:r w:rsidR="00474E6D">
        <w:rPr>
          <w:rFonts w:ascii="David" w:eastAsia="Calibri" w:hAnsi="David"/>
          <w:noProof w:val="0"/>
          <w:rtl/>
        </w:rPr>
        <w:t>אלמונית 1</w:t>
      </w:r>
      <w:r w:rsidRPr="00FA1DB5">
        <w:rPr>
          <w:rFonts w:ascii="David" w:eastAsia="Calibri" w:hAnsi="David"/>
          <w:noProof w:val="0"/>
          <w:rtl/>
        </w:rPr>
        <w:t xml:space="preserve"> בהליך הנוכחי לשנות מ</w:t>
      </w:r>
      <w:r w:rsidR="009068FF">
        <w:rPr>
          <w:rFonts w:ascii="David" w:eastAsia="Calibri" w:hAnsi="David" w:hint="cs"/>
          <w:noProof w:val="0"/>
          <w:rtl/>
        </w:rPr>
        <w:t xml:space="preserve">הקביעות </w:t>
      </w:r>
      <w:r w:rsidRPr="00FA1DB5">
        <w:rPr>
          <w:rFonts w:ascii="David" w:eastAsia="Calibri" w:hAnsi="David"/>
          <w:noProof w:val="0"/>
          <w:rtl/>
        </w:rPr>
        <w:t>לעיל ביחס למעשה בי-דין.</w:t>
      </w:r>
    </w:p>
    <w:p w:rsidR="00FA1DB5" w:rsidRPr="00FA1DB5" w:rsidRDefault="00FA1DB5" w:rsidP="00FA1DB5">
      <w:pPr>
        <w:spacing w:after="160" w:line="256" w:lineRule="auto"/>
        <w:ind w:left="720"/>
        <w:contextualSpacing/>
        <w:rPr>
          <w:rFonts w:ascii="David" w:eastAsia="Calibri" w:hAnsi="David"/>
          <w:noProof w:val="0"/>
        </w:rPr>
      </w:pPr>
    </w:p>
    <w:p w:rsidR="00FA1DB5" w:rsidRPr="000E202A" w:rsidRDefault="000F364C" w:rsidP="0059365F">
      <w:pPr>
        <w:numPr>
          <w:ilvl w:val="0"/>
          <w:numId w:val="1"/>
        </w:numPr>
        <w:spacing w:after="160" w:line="360" w:lineRule="auto"/>
        <w:jc w:val="both"/>
        <w:rPr>
          <w:rFonts w:ascii="David" w:eastAsia="Calibri" w:hAnsi="David"/>
          <w:b/>
          <w:bCs/>
          <w:noProof w:val="0"/>
          <w:rtl/>
        </w:rPr>
      </w:pPr>
      <w:r>
        <w:rPr>
          <w:rFonts w:ascii="David" w:eastAsia="Calibri" w:hAnsi="David" w:hint="cs"/>
          <w:b/>
          <w:bCs/>
          <w:noProof w:val="0"/>
          <w:rtl/>
        </w:rPr>
        <w:t>נ</w:t>
      </w:r>
      <w:r w:rsidR="000E202A">
        <w:rPr>
          <w:rFonts w:ascii="David" w:eastAsia="Calibri" w:hAnsi="David" w:hint="cs"/>
          <w:b/>
          <w:bCs/>
          <w:noProof w:val="0"/>
          <w:rtl/>
        </w:rPr>
        <w:t xml:space="preserve">יתן היה </w:t>
      </w:r>
      <w:r w:rsidR="00FA1DB5" w:rsidRPr="00FA1DB5">
        <w:rPr>
          <w:rFonts w:ascii="David" w:eastAsia="Calibri" w:hAnsi="David"/>
          <w:b/>
          <w:bCs/>
          <w:noProof w:val="0"/>
          <w:rtl/>
        </w:rPr>
        <w:t xml:space="preserve">להסתפק באמור לעיל על מנת לדחות </w:t>
      </w:r>
      <w:r w:rsidR="000E202A">
        <w:rPr>
          <w:rFonts w:ascii="David" w:eastAsia="Calibri" w:hAnsi="David" w:hint="cs"/>
          <w:b/>
          <w:bCs/>
          <w:noProof w:val="0"/>
          <w:rtl/>
        </w:rPr>
        <w:t xml:space="preserve">את </w:t>
      </w:r>
      <w:r w:rsidR="00FA1DB5" w:rsidRPr="00FA1DB5">
        <w:rPr>
          <w:rFonts w:ascii="David" w:eastAsia="Calibri" w:hAnsi="David"/>
          <w:b/>
          <w:bCs/>
          <w:noProof w:val="0"/>
          <w:rtl/>
        </w:rPr>
        <w:t>טענות</w:t>
      </w:r>
      <w:r w:rsidR="000E202A">
        <w:rPr>
          <w:rFonts w:ascii="David" w:eastAsia="Calibri" w:hAnsi="David" w:hint="cs"/>
          <w:b/>
          <w:bCs/>
          <w:noProof w:val="0"/>
          <w:rtl/>
        </w:rPr>
        <w:t xml:space="preserve">יה של </w:t>
      </w:r>
      <w:r w:rsidR="00474E6D">
        <w:rPr>
          <w:rFonts w:ascii="David" w:eastAsia="Calibri" w:hAnsi="David"/>
          <w:b/>
          <w:bCs/>
          <w:noProof w:val="0"/>
          <w:rtl/>
        </w:rPr>
        <w:t>אלמונית 1</w:t>
      </w:r>
      <w:r w:rsidR="000E202A">
        <w:rPr>
          <w:rFonts w:ascii="David" w:eastAsia="Calibri" w:hAnsi="David" w:hint="cs"/>
          <w:b/>
          <w:bCs/>
          <w:noProof w:val="0"/>
          <w:rtl/>
        </w:rPr>
        <w:t>,</w:t>
      </w:r>
      <w:r w:rsidR="00FA1DB5" w:rsidRPr="00FA1DB5">
        <w:rPr>
          <w:rFonts w:ascii="David" w:eastAsia="Calibri" w:hAnsi="David"/>
          <w:b/>
          <w:bCs/>
          <w:noProof w:val="0"/>
          <w:rtl/>
        </w:rPr>
        <w:t xml:space="preserve"> ולסיים את ההליך, אולם, למעלה מן הצורך, אביא את הדיון בעילה נוספת מכוחה הייתי מקבל את הבקשה לסילוק על הסף</w:t>
      </w:r>
      <w:r w:rsidR="000E202A">
        <w:rPr>
          <w:rFonts w:ascii="David" w:eastAsia="Calibri" w:hAnsi="David" w:hint="cs"/>
          <w:b/>
          <w:bCs/>
          <w:noProof w:val="0"/>
          <w:rtl/>
        </w:rPr>
        <w:t xml:space="preserve"> </w:t>
      </w:r>
      <w:r w:rsidR="0059365F">
        <w:rPr>
          <w:rFonts w:ascii="David" w:eastAsia="Calibri" w:hAnsi="David" w:hint="cs"/>
          <w:b/>
          <w:bCs/>
          <w:noProof w:val="0"/>
          <w:rtl/>
        </w:rPr>
        <w:t>-</w:t>
      </w:r>
      <w:r w:rsidR="000E202A">
        <w:rPr>
          <w:rFonts w:ascii="David" w:eastAsia="Calibri" w:hAnsi="David" w:hint="cs"/>
          <w:b/>
          <w:bCs/>
          <w:noProof w:val="0"/>
          <w:rtl/>
        </w:rPr>
        <w:t xml:space="preserve"> ש</w:t>
      </w:r>
      <w:r w:rsidR="00FA1DB5" w:rsidRPr="000E202A">
        <w:rPr>
          <w:rFonts w:ascii="David" w:eastAsia="Calibri" w:hAnsi="David"/>
          <w:b/>
          <w:bCs/>
          <w:noProof w:val="0"/>
          <w:rtl/>
        </w:rPr>
        <w:t>ימוש לרעה בהליכי משפט.</w:t>
      </w:r>
    </w:p>
    <w:p w:rsidR="00FA1DB5" w:rsidRPr="00FA1DB5" w:rsidRDefault="00FA1DB5" w:rsidP="00FA1DB5">
      <w:pPr>
        <w:spacing w:line="360" w:lineRule="auto"/>
        <w:jc w:val="both"/>
        <w:rPr>
          <w:rFonts w:ascii="David" w:hAnsi="David"/>
          <w:b/>
          <w:bCs/>
          <w:noProof w:val="0"/>
          <w:rtl/>
        </w:rPr>
      </w:pPr>
    </w:p>
    <w:p w:rsidR="00FA1DB5" w:rsidRPr="00FA1DB5" w:rsidRDefault="00FA1DB5" w:rsidP="00FA1DB5">
      <w:pPr>
        <w:spacing w:line="360" w:lineRule="auto"/>
        <w:ind w:firstLine="720"/>
        <w:jc w:val="both"/>
        <w:rPr>
          <w:rFonts w:ascii="David" w:hAnsi="David"/>
          <w:b/>
          <w:bCs/>
          <w:noProof w:val="0"/>
          <w:rtl/>
        </w:rPr>
      </w:pPr>
      <w:r w:rsidRPr="00FA1DB5">
        <w:rPr>
          <w:rFonts w:ascii="David" w:hAnsi="David"/>
          <w:b/>
          <w:bCs/>
          <w:noProof w:val="0"/>
          <w:rtl/>
        </w:rPr>
        <w:t>שימוש לרעה בהליכי משפט</w:t>
      </w:r>
    </w:p>
    <w:p w:rsidR="00FA1DB5" w:rsidRPr="00FA1DB5" w:rsidRDefault="00FA1DB5" w:rsidP="00FA1DB5">
      <w:pPr>
        <w:spacing w:line="360" w:lineRule="auto"/>
        <w:jc w:val="both"/>
        <w:rPr>
          <w:rFonts w:ascii="David" w:hAnsi="David"/>
          <w:noProof w:val="0"/>
          <w:rtl/>
        </w:rPr>
      </w:pPr>
    </w:p>
    <w:p w:rsidR="00FA1DB5" w:rsidRPr="00FA1DB5" w:rsidRDefault="00FA1DB5" w:rsidP="00FA1DB5">
      <w:pPr>
        <w:numPr>
          <w:ilvl w:val="0"/>
          <w:numId w:val="1"/>
        </w:numPr>
        <w:spacing w:after="160" w:line="360" w:lineRule="auto"/>
        <w:ind w:right="851"/>
        <w:contextualSpacing/>
        <w:jc w:val="both"/>
        <w:rPr>
          <w:rFonts w:ascii="David" w:hAnsi="David"/>
          <w:noProof w:val="0"/>
          <w:rtl/>
        </w:rPr>
      </w:pPr>
      <w:r w:rsidRPr="00FA1DB5">
        <w:rPr>
          <w:rFonts w:ascii="David" w:hAnsi="David"/>
          <w:noProof w:val="0"/>
          <w:rtl/>
        </w:rPr>
        <w:t>אביא את הוראות תקנה 42 לתקנות סדר הדין האזרחי החדשות להלן</w:t>
      </w:r>
      <w:r w:rsidRPr="00FA1DB5">
        <w:rPr>
          <w:rFonts w:ascii="David" w:hAnsi="David"/>
          <w:noProof w:val="0"/>
        </w:rPr>
        <w:t>:</w:t>
      </w:r>
    </w:p>
    <w:p w:rsidR="00FA1DB5" w:rsidRPr="00FA1DB5" w:rsidRDefault="00FA1DB5" w:rsidP="00FA1DB5">
      <w:pPr>
        <w:spacing w:after="160" w:line="256" w:lineRule="auto"/>
        <w:ind w:left="720"/>
        <w:contextualSpacing/>
        <w:rPr>
          <w:rFonts w:ascii="David" w:hAnsi="David"/>
          <w:b/>
          <w:bCs/>
          <w:noProof w:val="0"/>
        </w:rPr>
      </w:pPr>
    </w:p>
    <w:p w:rsidR="00FA1DB5" w:rsidRPr="00FA1DB5" w:rsidRDefault="00FA1DB5" w:rsidP="00FA1DB5">
      <w:pPr>
        <w:spacing w:line="360" w:lineRule="auto"/>
        <w:ind w:left="1643" w:right="851" w:firstLine="142"/>
        <w:contextualSpacing/>
        <w:jc w:val="both"/>
        <w:rPr>
          <w:rFonts w:ascii="David" w:hAnsi="David"/>
          <w:b/>
          <w:bCs/>
          <w:noProof w:val="0"/>
          <w:rtl/>
        </w:rPr>
      </w:pPr>
      <w:r w:rsidRPr="00FA1DB5">
        <w:rPr>
          <w:rFonts w:ascii="David" w:hAnsi="David"/>
          <w:b/>
          <w:bCs/>
          <w:noProof w:val="0"/>
        </w:rPr>
        <w:t>"</w:t>
      </w:r>
      <w:r w:rsidRPr="00FA1DB5">
        <w:rPr>
          <w:rFonts w:ascii="David" w:hAnsi="David"/>
          <w:b/>
          <w:bCs/>
          <w:noProof w:val="0"/>
          <w:rtl/>
        </w:rPr>
        <w:t>מחיקה מחמת שימוש לרעה בהליכי משפט</w:t>
      </w:r>
    </w:p>
    <w:p w:rsidR="00FA1DB5" w:rsidRPr="00FA1DB5" w:rsidRDefault="00FA1DB5" w:rsidP="00FA1DB5">
      <w:pPr>
        <w:spacing w:line="360" w:lineRule="auto"/>
        <w:ind w:left="1643" w:right="851" w:firstLine="142"/>
        <w:jc w:val="both"/>
        <w:rPr>
          <w:rFonts w:ascii="David" w:hAnsi="David"/>
          <w:b/>
          <w:bCs/>
          <w:noProof w:val="0"/>
        </w:rPr>
      </w:pPr>
    </w:p>
    <w:p w:rsidR="00FA1DB5" w:rsidRPr="00FA1DB5" w:rsidRDefault="00FA1DB5" w:rsidP="00FA1DB5">
      <w:pPr>
        <w:spacing w:line="360" w:lineRule="auto"/>
        <w:ind w:left="1643" w:right="851" w:firstLine="142"/>
        <w:jc w:val="both"/>
        <w:rPr>
          <w:rFonts w:ascii="David" w:hAnsi="David"/>
          <w:b/>
          <w:bCs/>
          <w:noProof w:val="0"/>
        </w:rPr>
      </w:pPr>
      <w:r w:rsidRPr="00FA1DB5">
        <w:rPr>
          <w:rFonts w:ascii="David" w:hAnsi="David"/>
          <w:b/>
          <w:bCs/>
          <w:noProof w:val="0"/>
          <w:rtl/>
        </w:rPr>
        <w:lastRenderedPageBreak/>
        <w:t>42 . סבר בית המשפט שבעל דין עשה שימוש לרעה בהליכי משפט רשאי הוא, מטעם זה בלבד, למחוק את כתב טענותיו כולו או מקצתו".</w:t>
      </w:r>
    </w:p>
    <w:p w:rsidR="00FA1DB5" w:rsidRPr="00FA1DB5" w:rsidRDefault="00FA1DB5" w:rsidP="00FA1DB5">
      <w:pPr>
        <w:spacing w:line="360" w:lineRule="auto"/>
        <w:ind w:left="1643" w:right="851" w:firstLine="142"/>
        <w:jc w:val="both"/>
        <w:rPr>
          <w:rFonts w:ascii="David" w:hAnsi="David"/>
          <w:b/>
          <w:bCs/>
          <w:noProof w:val="0"/>
          <w:rtl/>
        </w:rPr>
      </w:pPr>
    </w:p>
    <w:p w:rsidR="00FA1DB5" w:rsidRPr="00FA1DB5" w:rsidRDefault="00FA1DB5" w:rsidP="00FA1DB5">
      <w:pPr>
        <w:spacing w:line="360" w:lineRule="auto"/>
        <w:ind w:left="720" w:hanging="720"/>
        <w:jc w:val="both"/>
        <w:rPr>
          <w:rFonts w:ascii="David" w:hAnsi="David"/>
          <w:noProof w:val="0"/>
        </w:rPr>
      </w:pPr>
      <w:r w:rsidRPr="00FA1DB5">
        <w:rPr>
          <w:rFonts w:ascii="David" w:hAnsi="David"/>
          <w:b/>
          <w:bCs/>
          <w:noProof w:val="0"/>
        </w:rPr>
        <w:t> </w:t>
      </w:r>
    </w:p>
    <w:p w:rsidR="00FA1DB5" w:rsidRPr="00FA1DB5" w:rsidRDefault="00FA1DB5" w:rsidP="00FA1DB5">
      <w:pPr>
        <w:numPr>
          <w:ilvl w:val="0"/>
          <w:numId w:val="1"/>
        </w:numPr>
        <w:spacing w:after="160" w:line="360" w:lineRule="auto"/>
        <w:contextualSpacing/>
        <w:jc w:val="both"/>
        <w:rPr>
          <w:rFonts w:ascii="David" w:hAnsi="David"/>
          <w:b/>
          <w:bCs/>
          <w:lang w:eastAsia="he-IL"/>
        </w:rPr>
      </w:pPr>
      <w:r w:rsidRPr="00FA1DB5">
        <w:rPr>
          <w:rFonts w:ascii="David" w:eastAsia="Calibri" w:hAnsi="David"/>
          <w:noProof w:val="0"/>
          <w:rtl/>
        </w:rPr>
        <w:t>התקנות החדשות, מטביעות מונח של "</w:t>
      </w:r>
      <w:r w:rsidRPr="00FA1DB5">
        <w:rPr>
          <w:rFonts w:ascii="David" w:eastAsia="Calibri" w:hAnsi="David"/>
          <w:b/>
          <w:bCs/>
          <w:noProof w:val="0"/>
          <w:rtl/>
        </w:rPr>
        <w:t>שימוש לרעה בהליכי משפט</w:t>
      </w:r>
      <w:r w:rsidRPr="00FA1DB5">
        <w:rPr>
          <w:rFonts w:ascii="David" w:eastAsia="Calibri" w:hAnsi="David"/>
          <w:noProof w:val="0"/>
          <w:rtl/>
        </w:rPr>
        <w:t xml:space="preserve">". בפסק דין של בית המשפט העליון שניתן לאחרונה  נדרש בית המשפט לפרש מה הוא אותו שימוש לרעה בהליכי משפט, תוך השוואת ההבדלים בין חוסר תום לב לבין אותו שימוש לרעה. ההבחנה בין השניים חשובה לאור הסנקציות שקובעות התקנות בנושא, בעוד שבמקרים של שימוש לרעה בהליכי משפט התקנות מתירות לבית המשפט למחוק את כתב טענות ולחייב בעל דין או את בא כוחו בהוצאות, לא נקבעה בתקנות סנקציה עבור התנהלות שלא בתום לב. (ראו: </w:t>
      </w:r>
      <w:r w:rsidRPr="00FA1DB5">
        <w:rPr>
          <w:rFonts w:ascii="David" w:hAnsi="David"/>
          <w:rtl/>
          <w:lang w:eastAsia="he-IL"/>
        </w:rPr>
        <w:t xml:space="preserve">רע"א </w:t>
      </w:r>
      <w:r w:rsidRPr="00FA1DB5">
        <w:rPr>
          <w:rFonts w:ascii="David" w:hAnsi="David"/>
          <w:b/>
          <w:bCs/>
          <w:rtl/>
          <w:lang w:eastAsia="he-IL"/>
        </w:rPr>
        <w:t xml:space="preserve">8921/20 </w:t>
      </w:r>
      <w:r w:rsidRPr="00FA1DB5">
        <w:rPr>
          <w:rFonts w:ascii="David" w:hAnsi="David"/>
          <w:b/>
          <w:bCs/>
          <w:lang w:eastAsia="he-IL"/>
        </w:rPr>
        <w:t>SKS Holding LLC</w:t>
      </w:r>
      <w:r w:rsidRPr="00FA1DB5">
        <w:rPr>
          <w:rFonts w:ascii="David" w:hAnsi="David"/>
          <w:b/>
          <w:bCs/>
          <w:rtl/>
          <w:lang w:eastAsia="he-IL"/>
        </w:rPr>
        <w:t xml:space="preserve"> ואח' נ' גיל אורן ואח'.)</w:t>
      </w:r>
    </w:p>
    <w:p w:rsidR="00FA1DB5" w:rsidRPr="00FA1DB5" w:rsidRDefault="00FA1DB5" w:rsidP="00FA1DB5">
      <w:pPr>
        <w:spacing w:after="160" w:line="256" w:lineRule="auto"/>
        <w:ind w:left="720"/>
        <w:contextualSpacing/>
        <w:rPr>
          <w:rFonts w:ascii="David" w:hAnsi="David"/>
          <w:lang w:eastAsia="he-IL"/>
        </w:rPr>
      </w:pPr>
    </w:p>
    <w:p w:rsidR="00FA1DB5" w:rsidRPr="00FA1DB5" w:rsidRDefault="00FA1DB5" w:rsidP="00FA1DB5">
      <w:pPr>
        <w:spacing w:line="360" w:lineRule="auto"/>
        <w:ind w:left="720"/>
        <w:contextualSpacing/>
        <w:jc w:val="both"/>
        <w:rPr>
          <w:rFonts w:ascii="David" w:hAnsi="David"/>
          <w:rtl/>
          <w:lang w:eastAsia="he-IL"/>
        </w:rPr>
      </w:pPr>
    </w:p>
    <w:p w:rsidR="00FA1DB5" w:rsidRPr="00FA1DB5" w:rsidRDefault="00FA1DB5" w:rsidP="00FA1DB5">
      <w:pPr>
        <w:numPr>
          <w:ilvl w:val="0"/>
          <w:numId w:val="1"/>
        </w:numPr>
        <w:spacing w:after="160" w:line="360" w:lineRule="auto"/>
        <w:contextualSpacing/>
        <w:jc w:val="both"/>
        <w:rPr>
          <w:rFonts w:ascii="David" w:hAnsi="David"/>
          <w:lang w:eastAsia="he-IL"/>
        </w:rPr>
      </w:pPr>
      <w:r w:rsidRPr="00FA1DB5">
        <w:rPr>
          <w:rFonts w:ascii="David" w:hAnsi="David"/>
          <w:noProof w:val="0"/>
          <w:rtl/>
        </w:rPr>
        <w:t xml:space="preserve">השאלה מהו שימוש לרעה בהליך השיפוטי, אינה ניתנת לתשובה ברשימה סגורה וחדה, אם כי קל יותר לזהות את הפסול שבהתנהגות זו כאשר נתקלים בה. עם זאת, עיקרו של המבחן בעניין זה הינו סבירות והגינות, קרי- כיצד היה נוהג בעל דין סביר והגון בנסיבות העניין. השמירה על האינטרס האישי של בעל-דין צריכה להיעשות תוך התחשבות בציפיות הדיוניות המוצדקות של הצדדים האחרים להליך, ותוך מילוי חובותיו של בעל-הדין כלפי בית-המשפט ותוך ראית מכלול האיזונים ובחינת האינטרסים השונים. עוד יש להידרש להיקף ועוצמת הפגיעה בכללי הפרוצדורה הרלוונטיים ובתקינות ההליך השיפוטי; וכן במידתיות הסעד המבוקש נוכח הפגיעה האפשרית בזכויותיו של בעל הדין. (ראו בש"א 6479/06 </w:t>
      </w:r>
      <w:r w:rsidRPr="00FA1DB5">
        <w:rPr>
          <w:rFonts w:ascii="David" w:hAnsi="David"/>
          <w:b/>
          <w:bCs/>
          <w:noProof w:val="0"/>
          <w:rtl/>
        </w:rPr>
        <w:t>בנק דיסקונט לישראל בע"מ נ' שנפ</w:t>
      </w:r>
      <w:r w:rsidRPr="00FA1DB5">
        <w:rPr>
          <w:rFonts w:ascii="David" w:hAnsi="David"/>
          <w:noProof w:val="0"/>
          <w:rtl/>
        </w:rPr>
        <w:t xml:space="preserve">, (פורסם במאגרים המשפטיים ביום 15.01.07) תא(הר') 10412-09-12  </w:t>
      </w:r>
      <w:r w:rsidRPr="00FA1DB5">
        <w:rPr>
          <w:rFonts w:ascii="David" w:hAnsi="David"/>
          <w:b/>
          <w:bCs/>
          <w:noProof w:val="0"/>
          <w:rtl/>
        </w:rPr>
        <w:t>חיים ניסבוים נ' אריה הבר</w:t>
      </w:r>
      <w:r w:rsidRPr="00FA1DB5">
        <w:rPr>
          <w:rFonts w:ascii="David" w:hAnsi="David"/>
          <w:noProof w:val="0"/>
          <w:rtl/>
        </w:rPr>
        <w:t xml:space="preserve">  (פורסם במאגרים המשפטים ביום.4.11.21).</w:t>
      </w:r>
    </w:p>
    <w:p w:rsidR="00FA1DB5" w:rsidRPr="00FA1DB5" w:rsidRDefault="00FA1DB5" w:rsidP="00FA1DB5">
      <w:pPr>
        <w:spacing w:line="360" w:lineRule="auto"/>
        <w:ind w:left="720"/>
        <w:contextualSpacing/>
        <w:jc w:val="both"/>
        <w:rPr>
          <w:rFonts w:ascii="David" w:hAnsi="David"/>
          <w:lang w:eastAsia="he-IL"/>
        </w:rPr>
      </w:pPr>
    </w:p>
    <w:p w:rsidR="00FA1DB5" w:rsidRPr="00FA1DB5" w:rsidRDefault="00FA1DB5" w:rsidP="00FA1DB5">
      <w:pPr>
        <w:numPr>
          <w:ilvl w:val="0"/>
          <w:numId w:val="1"/>
        </w:numPr>
        <w:spacing w:after="160" w:line="360" w:lineRule="auto"/>
        <w:contextualSpacing/>
        <w:jc w:val="both"/>
        <w:rPr>
          <w:rFonts w:ascii="David" w:hAnsi="David"/>
          <w:lang w:eastAsia="he-IL"/>
        </w:rPr>
      </w:pPr>
      <w:r w:rsidRPr="00FA1DB5">
        <w:rPr>
          <w:rFonts w:ascii="David" w:hAnsi="David"/>
          <w:rtl/>
          <w:lang w:eastAsia="he-IL"/>
        </w:rPr>
        <w:t>ברוח זו נוסח גם סעיף 4 לתקנות בית המשפט לענייניי משפחה (סדרי דין) התשפ"א- 2021, השולל מצד להליך בבית המשפט לענייני משפחה את האפשרות לעשות שימוש לרעה בהליכי משפט. דוקטרינת השימוש לרעה בהליכי משפט כפי צוין לעיל מוכרת וידועה ולאחרונה היא אף הורחבה אל מעבר לגבולות הטלת הסנקציות בדמות מחיקת כתב הטענות. לא זו אף זו אלא שיכול הצד הנפגע להגיש תובענה כנגד הצד הנוקט בהליכים משפטיים בהעדר תום לב ובחוסר נקיון כפיים.</w:t>
      </w:r>
    </w:p>
    <w:p w:rsidR="00FA1DB5" w:rsidRPr="00FA1DB5" w:rsidRDefault="00FA1DB5" w:rsidP="00FA1DB5">
      <w:pPr>
        <w:spacing w:line="360" w:lineRule="auto"/>
        <w:ind w:left="720"/>
        <w:contextualSpacing/>
        <w:jc w:val="both"/>
        <w:rPr>
          <w:rFonts w:ascii="David" w:hAnsi="David"/>
          <w:lang w:eastAsia="he-IL"/>
        </w:rPr>
      </w:pPr>
    </w:p>
    <w:p w:rsidR="00FA1DB5" w:rsidRPr="00FA1DB5" w:rsidRDefault="00FA1DB5" w:rsidP="000E202A">
      <w:pPr>
        <w:numPr>
          <w:ilvl w:val="0"/>
          <w:numId w:val="1"/>
        </w:numPr>
        <w:spacing w:after="160" w:line="360" w:lineRule="auto"/>
        <w:contextualSpacing/>
        <w:jc w:val="both"/>
        <w:rPr>
          <w:rFonts w:ascii="David" w:hAnsi="David"/>
          <w:lang w:eastAsia="he-IL"/>
        </w:rPr>
      </w:pPr>
      <w:r w:rsidRPr="00FA1DB5">
        <w:rPr>
          <w:rFonts w:ascii="David" w:hAnsi="David"/>
          <w:noProof w:val="0"/>
          <w:rtl/>
        </w:rPr>
        <w:t xml:space="preserve">לצד שיקולים אלו, קיים שיקול נוסף שהוא מעין שיקול על, והוא </w:t>
      </w:r>
      <w:r w:rsidRPr="00FA1DB5">
        <w:rPr>
          <w:rFonts w:ascii="David" w:hAnsi="David"/>
          <w:b/>
          <w:bCs/>
          <w:noProof w:val="0"/>
          <w:u w:val="single"/>
          <w:rtl/>
        </w:rPr>
        <w:t>זכות הגישה לערכאות</w:t>
      </w:r>
      <w:r w:rsidRPr="00FA1DB5">
        <w:rPr>
          <w:rFonts w:ascii="David" w:hAnsi="David"/>
          <w:noProof w:val="0"/>
          <w:rtl/>
        </w:rPr>
        <w:t xml:space="preserve"> אשר נמנעת מאותו בעל דין שפסק הדין ניתן בהעדרו, כאשר לא מדובר בזכות מוחלטת אלא זכות שיש לאזנה, בין היתר, אל מול האינטרס הציבורי על רקע מכלול נסיבות המקרה </w:t>
      </w:r>
      <w:r w:rsidRPr="00FA1DB5">
        <w:rPr>
          <w:rFonts w:ascii="David" w:hAnsi="David"/>
          <w:rtl/>
          <w:lang w:eastAsia="he-IL"/>
        </w:rPr>
        <w:t xml:space="preserve">. </w:t>
      </w:r>
      <w:r w:rsidRPr="00FA1DB5">
        <w:rPr>
          <w:rFonts w:ascii="David" w:hAnsi="David"/>
          <w:b/>
          <w:bCs/>
          <w:u w:val="single"/>
          <w:rtl/>
          <w:lang w:eastAsia="he-IL"/>
        </w:rPr>
        <w:t>מנגד</w:t>
      </w:r>
      <w:r w:rsidRPr="00FA1DB5">
        <w:rPr>
          <w:rFonts w:ascii="David" w:hAnsi="David"/>
          <w:rtl/>
          <w:lang w:eastAsia="he-IL"/>
        </w:rPr>
        <w:t xml:space="preserve">, עומד אחד מהעקרונות המהותיים במשפט הוא </w:t>
      </w:r>
      <w:r w:rsidRPr="00FA1DB5">
        <w:rPr>
          <w:rFonts w:ascii="David" w:hAnsi="David"/>
          <w:b/>
          <w:bCs/>
          <w:u w:val="single"/>
          <w:rtl/>
          <w:lang w:eastAsia="he-IL"/>
        </w:rPr>
        <w:t>עקרון סופיות הדיון</w:t>
      </w:r>
      <w:r w:rsidRPr="00FA1DB5">
        <w:rPr>
          <w:rFonts w:ascii="David" w:hAnsi="David"/>
          <w:rtl/>
          <w:lang w:eastAsia="he-IL"/>
        </w:rPr>
        <w:t xml:space="preserve">. לאחרונה ניתן על ידי בית </w:t>
      </w:r>
      <w:r w:rsidRPr="00FA1DB5">
        <w:rPr>
          <w:rFonts w:ascii="David" w:hAnsi="David"/>
          <w:rtl/>
          <w:lang w:eastAsia="he-IL"/>
        </w:rPr>
        <w:lastRenderedPageBreak/>
        <w:t>המש</w:t>
      </w:r>
      <w:r w:rsidR="000E202A">
        <w:rPr>
          <w:rFonts w:ascii="David" w:hAnsi="David" w:hint="cs"/>
          <w:rtl/>
          <w:lang w:eastAsia="he-IL"/>
        </w:rPr>
        <w:t>פ</w:t>
      </w:r>
      <w:r w:rsidRPr="00FA1DB5">
        <w:rPr>
          <w:rFonts w:ascii="David" w:hAnsi="David"/>
          <w:rtl/>
          <w:lang w:eastAsia="he-IL"/>
        </w:rPr>
        <w:t xml:space="preserve">ט העליון פסק דין </w:t>
      </w:r>
      <w:r w:rsidR="000E202A">
        <w:rPr>
          <w:rFonts w:ascii="David" w:hAnsi="David" w:hint="cs"/>
          <w:rtl/>
          <w:lang w:eastAsia="he-IL"/>
        </w:rPr>
        <w:t>ובו נקבע כי</w:t>
      </w:r>
      <w:r w:rsidRPr="00FA1DB5">
        <w:rPr>
          <w:rFonts w:ascii="David" w:hAnsi="David"/>
          <w:rtl/>
          <w:lang w:eastAsia="he-IL"/>
        </w:rPr>
        <w:t xml:space="preserve"> </w:t>
      </w:r>
      <w:r w:rsidRPr="00FA1DB5">
        <w:rPr>
          <w:rFonts w:ascii="David" w:hAnsi="David"/>
          <w:b/>
          <w:bCs/>
          <w:u w:val="single"/>
          <w:rtl/>
          <w:lang w:eastAsia="he-IL"/>
        </w:rPr>
        <w:t>לכלל זה שני שיקולים עיקריים</w:t>
      </w:r>
      <w:r w:rsidRPr="00FA1DB5">
        <w:rPr>
          <w:rFonts w:ascii="David" w:hAnsi="David"/>
          <w:rtl/>
          <w:lang w:eastAsia="he-IL"/>
        </w:rPr>
        <w:t xml:space="preserve">: יצירת ודאות לבעלי הדין המאפשרת להם להישען על פסק הדין שניתן ולהתנהל בהתאם תחת ההנחה כי לא יהיו מוטרדים פעם נוספת בהליך משפטי לגבי העניינים שהוכרעו במסגרתו; וכן שיקולים הנוגעים לחסכון במשאבים ציבוריים והפעלה של מערכת המשפט בצורה יעילה.  (ראו: רע"א 1502/22 </w:t>
      </w:r>
      <w:r w:rsidRPr="00FA1DB5">
        <w:rPr>
          <w:rFonts w:ascii="David" w:hAnsi="David"/>
          <w:b/>
          <w:bCs/>
          <w:rtl/>
          <w:lang w:eastAsia="he-IL"/>
        </w:rPr>
        <w:t>פלוני נ' פלוני</w:t>
      </w:r>
      <w:r w:rsidRPr="00FA1DB5">
        <w:rPr>
          <w:rFonts w:ascii="David" w:hAnsi="David"/>
          <w:rtl/>
          <w:lang w:eastAsia="he-IL"/>
        </w:rPr>
        <w:t xml:space="preserve"> מיום 25.5.2022, (פורסם במאגרים המשפטיים).</w:t>
      </w:r>
    </w:p>
    <w:p w:rsidR="00FA1DB5" w:rsidRPr="00FA1DB5" w:rsidRDefault="00FA1DB5" w:rsidP="00FA1DB5">
      <w:pPr>
        <w:spacing w:after="160" w:line="256" w:lineRule="auto"/>
        <w:ind w:left="720"/>
        <w:contextualSpacing/>
        <w:rPr>
          <w:rFonts w:ascii="David" w:hAnsi="David"/>
          <w:b/>
          <w:bCs/>
          <w:noProof w:val="0"/>
          <w:u w:val="single"/>
          <w:lang w:eastAsia="he-IL"/>
        </w:rPr>
      </w:pPr>
    </w:p>
    <w:p w:rsidR="00FA1DB5" w:rsidRPr="009675C8" w:rsidRDefault="009675C8" w:rsidP="00B011B6">
      <w:pPr>
        <w:numPr>
          <w:ilvl w:val="0"/>
          <w:numId w:val="1"/>
        </w:numPr>
        <w:spacing w:after="160" w:line="360" w:lineRule="auto"/>
        <w:contextualSpacing/>
        <w:jc w:val="both"/>
        <w:rPr>
          <w:rFonts w:ascii="David" w:hAnsi="David"/>
          <w:b/>
          <w:bCs/>
          <w:rtl/>
          <w:lang w:eastAsia="he-IL"/>
        </w:rPr>
      </w:pPr>
      <w:r>
        <w:rPr>
          <w:rFonts w:ascii="David" w:hAnsi="David" w:hint="cs"/>
          <w:b/>
          <w:bCs/>
          <w:noProof w:val="0"/>
          <w:u w:val="single"/>
          <w:rtl/>
          <w:lang w:eastAsia="he-IL"/>
        </w:rPr>
        <w:t xml:space="preserve">דומני כי </w:t>
      </w:r>
      <w:r w:rsidR="00FA1DB5" w:rsidRPr="00FA1DB5">
        <w:rPr>
          <w:rFonts w:ascii="David" w:hAnsi="David"/>
          <w:b/>
          <w:bCs/>
          <w:noProof w:val="0"/>
          <w:u w:val="single"/>
          <w:rtl/>
          <w:lang w:eastAsia="he-IL"/>
        </w:rPr>
        <w:t>המקרה דנן</w:t>
      </w:r>
      <w:r w:rsidR="00FA1DB5" w:rsidRPr="00FA1DB5">
        <w:rPr>
          <w:rFonts w:ascii="David" w:hAnsi="David"/>
          <w:noProof w:val="0"/>
          <w:rtl/>
          <w:lang w:eastAsia="he-IL"/>
        </w:rPr>
        <w:t xml:space="preserve">, מהווה דוגמא לשימוש לרעה בהליכי בית משפט ולחוסר תום לב </w:t>
      </w:r>
      <w:r w:rsidR="000E202A">
        <w:rPr>
          <w:rFonts w:ascii="David" w:hAnsi="David" w:hint="cs"/>
          <w:noProof w:val="0"/>
          <w:rtl/>
          <w:lang w:eastAsia="he-IL"/>
        </w:rPr>
        <w:t>מצ</w:t>
      </w:r>
      <w:r w:rsidR="0059365F">
        <w:rPr>
          <w:rFonts w:ascii="David" w:hAnsi="David" w:hint="cs"/>
          <w:noProof w:val="0"/>
          <w:rtl/>
          <w:lang w:eastAsia="he-IL"/>
        </w:rPr>
        <w:t>י</w:t>
      </w:r>
      <w:r w:rsidR="000E202A">
        <w:rPr>
          <w:rFonts w:ascii="David" w:hAnsi="David" w:hint="cs"/>
          <w:noProof w:val="0"/>
          <w:rtl/>
          <w:lang w:eastAsia="he-IL"/>
        </w:rPr>
        <w:t xml:space="preserve">דה של </w:t>
      </w:r>
      <w:r w:rsidR="00474E6D">
        <w:rPr>
          <w:rFonts w:ascii="David" w:hAnsi="David"/>
          <w:noProof w:val="0"/>
          <w:rtl/>
          <w:lang w:eastAsia="he-IL"/>
        </w:rPr>
        <w:t>אלמונית 1</w:t>
      </w:r>
      <w:r w:rsidR="00FA1DB5" w:rsidRPr="00FA1DB5">
        <w:rPr>
          <w:rFonts w:ascii="David" w:hAnsi="David"/>
          <w:noProof w:val="0"/>
          <w:rtl/>
          <w:lang w:eastAsia="he-IL"/>
        </w:rPr>
        <w:t xml:space="preserve">.  עיון בהשתלשלות ההליכים הרבים הקודמים, בפרו' הדיונים ובהחלטות השונות </w:t>
      </w:r>
      <w:r w:rsidR="00256E1B">
        <w:rPr>
          <w:rFonts w:ascii="David" w:hAnsi="David" w:hint="cs"/>
          <w:noProof w:val="0"/>
          <w:rtl/>
          <w:lang w:eastAsia="he-IL"/>
        </w:rPr>
        <w:t xml:space="preserve">שפורטו </w:t>
      </w:r>
      <w:r w:rsidR="00FA1DB5" w:rsidRPr="00FA1DB5">
        <w:rPr>
          <w:rFonts w:ascii="David" w:hAnsi="David"/>
          <w:noProof w:val="0"/>
          <w:rtl/>
          <w:lang w:eastAsia="he-IL"/>
        </w:rPr>
        <w:t xml:space="preserve">לעיל, </w:t>
      </w:r>
      <w:r w:rsidR="00256E1B">
        <w:rPr>
          <w:rFonts w:ascii="David" w:hAnsi="David" w:hint="cs"/>
          <w:noProof w:val="0"/>
          <w:rtl/>
          <w:lang w:eastAsia="he-IL"/>
        </w:rPr>
        <w:t xml:space="preserve">מעלה </w:t>
      </w:r>
      <w:r w:rsidR="00FA1DB5" w:rsidRPr="00FA1DB5">
        <w:rPr>
          <w:rFonts w:ascii="David" w:hAnsi="David"/>
          <w:noProof w:val="0"/>
          <w:rtl/>
          <w:lang w:eastAsia="he-IL"/>
        </w:rPr>
        <w:t>תמונה ברורה</w:t>
      </w:r>
      <w:r w:rsidR="00256E1B">
        <w:rPr>
          <w:rFonts w:ascii="David" w:hAnsi="David" w:hint="cs"/>
          <w:noProof w:val="0"/>
          <w:rtl/>
          <w:lang w:eastAsia="he-IL"/>
        </w:rPr>
        <w:t>,</w:t>
      </w:r>
      <w:r w:rsidR="00FA1DB5" w:rsidRPr="00FA1DB5">
        <w:rPr>
          <w:rFonts w:ascii="David" w:hAnsi="David"/>
          <w:noProof w:val="0"/>
          <w:rtl/>
          <w:lang w:eastAsia="he-IL"/>
        </w:rPr>
        <w:t xml:space="preserve"> לפיה </w:t>
      </w:r>
      <w:r w:rsidR="00474E6D">
        <w:rPr>
          <w:rFonts w:ascii="David" w:hAnsi="David"/>
          <w:noProof w:val="0"/>
          <w:rtl/>
          <w:lang w:eastAsia="he-IL"/>
        </w:rPr>
        <w:t>אלמונית 1</w:t>
      </w:r>
      <w:r w:rsidR="00FA1DB5" w:rsidRPr="00FA1DB5">
        <w:rPr>
          <w:rFonts w:ascii="David" w:hAnsi="David"/>
          <w:noProof w:val="0"/>
          <w:rtl/>
          <w:lang w:eastAsia="he-IL"/>
        </w:rPr>
        <w:t xml:space="preserve"> ידעה אודות כלל ההליכים הקודמים, </w:t>
      </w:r>
      <w:r>
        <w:rPr>
          <w:rFonts w:ascii="David" w:hAnsi="David" w:hint="cs"/>
          <w:noProof w:val="0"/>
          <w:rtl/>
          <w:lang w:eastAsia="he-IL"/>
        </w:rPr>
        <w:t xml:space="preserve">היתה </w:t>
      </w:r>
      <w:r w:rsidR="00FA1DB5" w:rsidRPr="00FA1DB5">
        <w:rPr>
          <w:rFonts w:ascii="David" w:hAnsi="David"/>
          <w:noProof w:val="0"/>
          <w:rtl/>
          <w:lang w:eastAsia="he-IL"/>
        </w:rPr>
        <w:t xml:space="preserve">מודעת היטב לקיומו של צו קיום צוואה, </w:t>
      </w:r>
      <w:r w:rsidR="00256E1B">
        <w:rPr>
          <w:rFonts w:ascii="David" w:hAnsi="David" w:hint="cs"/>
          <w:noProof w:val="0"/>
          <w:rtl/>
          <w:lang w:eastAsia="he-IL"/>
        </w:rPr>
        <w:t>ו</w:t>
      </w:r>
      <w:r w:rsidR="00FA1DB5" w:rsidRPr="00FA1DB5">
        <w:rPr>
          <w:rFonts w:ascii="David" w:hAnsi="David"/>
          <w:noProof w:val="0"/>
          <w:rtl/>
          <w:lang w:eastAsia="he-IL"/>
        </w:rPr>
        <w:t>אף עתרה לביטולו</w:t>
      </w:r>
      <w:r w:rsidR="00256E1B">
        <w:rPr>
          <w:rFonts w:ascii="David" w:hAnsi="David" w:hint="cs"/>
          <w:noProof w:val="0"/>
          <w:rtl/>
          <w:lang w:eastAsia="he-IL"/>
        </w:rPr>
        <w:t xml:space="preserve">, מספר פעמים, </w:t>
      </w:r>
      <w:r w:rsidR="00FA1DB5" w:rsidRPr="00FA1DB5">
        <w:rPr>
          <w:rFonts w:ascii="David" w:hAnsi="David"/>
          <w:noProof w:val="0"/>
          <w:rtl/>
          <w:lang w:eastAsia="he-IL"/>
        </w:rPr>
        <w:t>ו</w:t>
      </w:r>
      <w:r w:rsidR="00256E1B">
        <w:rPr>
          <w:rFonts w:ascii="David" w:hAnsi="David" w:hint="cs"/>
          <w:noProof w:val="0"/>
          <w:rtl/>
          <w:lang w:eastAsia="he-IL"/>
        </w:rPr>
        <w:t xml:space="preserve">כלל </w:t>
      </w:r>
      <w:r w:rsidR="00FA1DB5" w:rsidRPr="00FA1DB5">
        <w:rPr>
          <w:rFonts w:ascii="David" w:hAnsi="David"/>
          <w:noProof w:val="0"/>
          <w:rtl/>
          <w:lang w:eastAsia="he-IL"/>
        </w:rPr>
        <w:t xml:space="preserve">תביעותיה  נדחו. </w:t>
      </w:r>
      <w:r w:rsidR="00256E1B">
        <w:rPr>
          <w:rFonts w:ascii="David" w:hAnsi="David" w:hint="cs"/>
          <w:noProof w:val="0"/>
          <w:rtl/>
          <w:lang w:eastAsia="he-IL"/>
        </w:rPr>
        <w:t xml:space="preserve"> </w:t>
      </w:r>
      <w:r w:rsidR="0059365F">
        <w:rPr>
          <w:rFonts w:ascii="David" w:hAnsi="David" w:hint="cs"/>
          <w:b/>
          <w:bCs/>
          <w:noProof w:val="0"/>
          <w:rtl/>
          <w:lang w:eastAsia="he-IL"/>
        </w:rPr>
        <w:t xml:space="preserve">אילו היתה </w:t>
      </w:r>
      <w:r w:rsidR="00474E6D">
        <w:rPr>
          <w:rFonts w:ascii="David" w:hAnsi="David" w:hint="cs"/>
          <w:b/>
          <w:bCs/>
          <w:noProof w:val="0"/>
          <w:rtl/>
          <w:lang w:eastAsia="he-IL"/>
        </w:rPr>
        <w:t>אלמונית 1</w:t>
      </w:r>
      <w:r w:rsidR="0059365F">
        <w:rPr>
          <w:rFonts w:ascii="David" w:hAnsi="David" w:hint="cs"/>
          <w:b/>
          <w:bCs/>
          <w:noProof w:val="0"/>
          <w:rtl/>
          <w:lang w:eastAsia="he-IL"/>
        </w:rPr>
        <w:t xml:space="preserve"> מפרטת את כל הדרוש בבקשתה לצו ירושה, אין כל ספק כי בקש</w:t>
      </w:r>
      <w:r w:rsidR="00B011B6">
        <w:rPr>
          <w:rFonts w:ascii="David" w:hAnsi="David" w:hint="cs"/>
          <w:b/>
          <w:bCs/>
          <w:noProof w:val="0"/>
          <w:rtl/>
          <w:lang w:eastAsia="he-IL"/>
        </w:rPr>
        <w:t>ת</w:t>
      </w:r>
      <w:r w:rsidR="0059365F">
        <w:rPr>
          <w:rFonts w:ascii="David" w:hAnsi="David" w:hint="cs"/>
          <w:b/>
          <w:bCs/>
          <w:noProof w:val="0"/>
          <w:rtl/>
          <w:lang w:eastAsia="he-IL"/>
        </w:rPr>
        <w:t>ה היתה נדחית או לכל היותר</w:t>
      </w:r>
      <w:r w:rsidR="00B011B6">
        <w:rPr>
          <w:rFonts w:ascii="David" w:hAnsi="David" w:hint="cs"/>
          <w:b/>
          <w:bCs/>
          <w:noProof w:val="0"/>
          <w:rtl/>
          <w:lang w:eastAsia="he-IL"/>
        </w:rPr>
        <w:t>,</w:t>
      </w:r>
      <w:r w:rsidR="0059365F">
        <w:rPr>
          <w:rFonts w:ascii="David" w:hAnsi="David" w:hint="cs"/>
          <w:b/>
          <w:bCs/>
          <w:noProof w:val="0"/>
          <w:rtl/>
          <w:lang w:eastAsia="he-IL"/>
        </w:rPr>
        <w:t xml:space="preserve"> מועברת להכרעתו של בית המשפט. העובדה שלא עשתה כן, ולא גילתה את כל הדרוש, </w:t>
      </w:r>
      <w:r w:rsidR="0059365F" w:rsidRPr="0064158D">
        <w:rPr>
          <w:rFonts w:ascii="David" w:hAnsi="David" w:hint="cs"/>
          <w:b/>
          <w:bCs/>
          <w:noProof w:val="0"/>
          <w:u w:val="single"/>
          <w:rtl/>
          <w:lang w:eastAsia="he-IL"/>
        </w:rPr>
        <w:t>גרמה לתקלה חמורה</w:t>
      </w:r>
      <w:r w:rsidR="0059365F">
        <w:rPr>
          <w:rFonts w:ascii="David" w:hAnsi="David" w:hint="cs"/>
          <w:b/>
          <w:bCs/>
          <w:noProof w:val="0"/>
          <w:rtl/>
          <w:lang w:eastAsia="he-IL"/>
        </w:rPr>
        <w:t xml:space="preserve"> - מתן צו ירושה הנוגד צו קיום צוואה תקף.   בנסיבות אלו, </w:t>
      </w:r>
      <w:r w:rsidR="00FA1DB5" w:rsidRPr="009675C8">
        <w:rPr>
          <w:rFonts w:ascii="David" w:hAnsi="David"/>
          <w:b/>
          <w:bCs/>
          <w:noProof w:val="0"/>
          <w:rtl/>
          <w:lang w:eastAsia="he-IL"/>
        </w:rPr>
        <w:t>על בית המשפט לנקוט בגישה אשר אינה משתמעת לשתי פנים, לריסון ההתנהגות הפוגענית ולמניעת הנזק הבא.</w:t>
      </w:r>
      <w:r w:rsidR="00FA1DB5" w:rsidRPr="009675C8">
        <w:rPr>
          <w:rFonts w:ascii="David" w:hAnsi="David"/>
          <w:b/>
          <w:bCs/>
          <w:noProof w:val="0"/>
          <w:rtl/>
        </w:rPr>
        <w:t xml:space="preserve"> </w:t>
      </w:r>
    </w:p>
    <w:p w:rsidR="00FA1DB5" w:rsidRPr="00FA1DB5" w:rsidRDefault="00FA1DB5" w:rsidP="00FA1DB5">
      <w:pPr>
        <w:spacing w:after="160" w:line="256" w:lineRule="auto"/>
        <w:ind w:left="720"/>
        <w:contextualSpacing/>
        <w:rPr>
          <w:rFonts w:ascii="David" w:hAnsi="David"/>
          <w:lang w:eastAsia="he-IL"/>
        </w:rPr>
      </w:pPr>
    </w:p>
    <w:p w:rsidR="00FA1DB5" w:rsidRDefault="00256E1B" w:rsidP="00256E1B">
      <w:pPr>
        <w:numPr>
          <w:ilvl w:val="0"/>
          <w:numId w:val="1"/>
        </w:numPr>
        <w:spacing w:after="160" w:line="360" w:lineRule="auto"/>
        <w:contextualSpacing/>
        <w:jc w:val="both"/>
        <w:rPr>
          <w:rFonts w:ascii="Arial" w:hAnsi="Arial"/>
          <w:noProof w:val="0"/>
        </w:rPr>
      </w:pPr>
      <w:r>
        <w:rPr>
          <w:rFonts w:ascii="David" w:hAnsi="David" w:hint="cs"/>
          <w:rtl/>
          <w:lang w:eastAsia="he-IL"/>
        </w:rPr>
        <w:t>אינני מתעלם מהטענה ל</w:t>
      </w:r>
      <w:r w:rsidR="00FA1DB5" w:rsidRPr="00FA1DB5">
        <w:rPr>
          <w:rFonts w:ascii="David" w:hAnsi="David"/>
          <w:rtl/>
          <w:lang w:eastAsia="he-IL"/>
        </w:rPr>
        <w:t xml:space="preserve">פיה </w:t>
      </w:r>
      <w:r w:rsidR="00474E6D">
        <w:rPr>
          <w:rFonts w:ascii="David" w:hAnsi="David"/>
          <w:rtl/>
          <w:lang w:eastAsia="he-IL"/>
        </w:rPr>
        <w:t>אלמונית 1</w:t>
      </w:r>
      <w:r w:rsidR="00FA1DB5" w:rsidRPr="00FA1DB5">
        <w:rPr>
          <w:rFonts w:ascii="David" w:hAnsi="David"/>
          <w:rtl/>
          <w:lang w:eastAsia="he-IL"/>
        </w:rPr>
        <w:t xml:space="preserve"> לא קבלה </w:t>
      </w:r>
      <w:r>
        <w:rPr>
          <w:rFonts w:ascii="David" w:hAnsi="David" w:hint="cs"/>
          <w:rtl/>
          <w:lang w:eastAsia="he-IL"/>
        </w:rPr>
        <w:t xml:space="preserve">את </w:t>
      </w:r>
      <w:r w:rsidR="00FA1DB5" w:rsidRPr="00FA1DB5">
        <w:rPr>
          <w:rFonts w:ascii="David" w:hAnsi="David"/>
          <w:rtl/>
          <w:lang w:eastAsia="he-IL"/>
        </w:rPr>
        <w:t>חלקה בעזבון הוריה</w:t>
      </w:r>
      <w:r>
        <w:rPr>
          <w:rFonts w:ascii="David" w:hAnsi="David" w:hint="cs"/>
          <w:rtl/>
          <w:lang w:eastAsia="he-IL"/>
        </w:rPr>
        <w:t xml:space="preserve">.  </w:t>
      </w:r>
      <w:r w:rsidR="00FA1DB5" w:rsidRPr="00FA1DB5">
        <w:rPr>
          <w:rFonts w:ascii="David" w:hAnsi="David"/>
          <w:rtl/>
          <w:lang w:eastAsia="he-IL"/>
        </w:rPr>
        <w:t xml:space="preserve">מבלי לקבוע מסמרות בעניין, </w:t>
      </w:r>
      <w:r>
        <w:rPr>
          <w:rFonts w:ascii="David" w:hAnsi="David" w:hint="cs"/>
          <w:rtl/>
          <w:lang w:eastAsia="he-IL"/>
        </w:rPr>
        <w:t xml:space="preserve">מובהר כי ע"פ הפסיקה, </w:t>
      </w:r>
      <w:r w:rsidR="00FA1DB5" w:rsidRPr="00FA1DB5">
        <w:rPr>
          <w:rFonts w:ascii="Arial" w:hAnsi="Arial"/>
          <w:noProof w:val="0"/>
          <w:rtl/>
        </w:rPr>
        <w:t>עילות מכוח חוזים או נזיקין אין בהן כדי להביא לבטלות הצוואה</w:t>
      </w:r>
      <w:r>
        <w:rPr>
          <w:rFonts w:ascii="Arial" w:hAnsi="Arial" w:hint="cs"/>
          <w:noProof w:val="0"/>
          <w:rtl/>
        </w:rPr>
        <w:t xml:space="preserve">.  </w:t>
      </w:r>
      <w:r w:rsidR="00FA1DB5" w:rsidRPr="00FA1DB5">
        <w:rPr>
          <w:rFonts w:ascii="Arial" w:hAnsi="Arial"/>
          <w:noProof w:val="0"/>
          <w:rtl/>
        </w:rPr>
        <w:t>העילות מכוח דיני החוזים או הנזיקין הן עילות אישיות כלפי  המפר או המזיק בהתאמה ואינן חלק מהליך על פי חוק הירושה ול</w:t>
      </w:r>
      <w:r w:rsidR="00474E6D">
        <w:rPr>
          <w:rFonts w:ascii="Arial" w:hAnsi="Arial"/>
          <w:noProof w:val="0"/>
          <w:rtl/>
        </w:rPr>
        <w:t>אלמונית 1</w:t>
      </w:r>
      <w:r w:rsidR="00FA1DB5" w:rsidRPr="00FA1DB5">
        <w:rPr>
          <w:rFonts w:ascii="Arial" w:hAnsi="Arial"/>
          <w:noProof w:val="0"/>
          <w:rtl/>
        </w:rPr>
        <w:t xml:space="preserve"> עומדת הזכות למצות את הדין בהתאם ככל שתוכיח שקיימת הפרה או נזק.</w:t>
      </w:r>
      <w:r>
        <w:rPr>
          <w:rFonts w:ascii="Arial" w:hAnsi="Arial" w:hint="cs"/>
          <w:noProof w:val="0"/>
          <w:rtl/>
        </w:rPr>
        <w:t xml:space="preserve">  </w:t>
      </w:r>
      <w:r w:rsidR="00FA1DB5" w:rsidRPr="00FA1DB5">
        <w:rPr>
          <w:rFonts w:ascii="Arial" w:hAnsi="Arial"/>
          <w:noProof w:val="0"/>
          <w:rtl/>
        </w:rPr>
        <w:t>(ראו: ת"ע 31165-03-19, סעיף 29 להחלטה מיום 23.9.2019).</w:t>
      </w:r>
    </w:p>
    <w:p w:rsidR="00372F35" w:rsidRDefault="00372F35" w:rsidP="00372F35">
      <w:pPr>
        <w:pStyle w:val="ad"/>
        <w:rPr>
          <w:rFonts w:ascii="Arial" w:hAnsi="Arial"/>
          <w:noProof w:val="0"/>
          <w:rtl/>
        </w:rPr>
      </w:pPr>
    </w:p>
    <w:p w:rsidR="009675C8" w:rsidRPr="009675C8" w:rsidRDefault="00372F35" w:rsidP="009675C8">
      <w:pPr>
        <w:numPr>
          <w:ilvl w:val="0"/>
          <w:numId w:val="1"/>
        </w:numPr>
        <w:spacing w:after="160" w:line="360" w:lineRule="auto"/>
        <w:contextualSpacing/>
        <w:jc w:val="both"/>
        <w:rPr>
          <w:rFonts w:ascii="Arial" w:hAnsi="Arial"/>
          <w:b/>
          <w:bCs/>
          <w:noProof w:val="0"/>
        </w:rPr>
      </w:pPr>
      <w:r>
        <w:rPr>
          <w:rFonts w:ascii="Arial" w:hAnsi="Arial" w:hint="cs"/>
          <w:noProof w:val="0"/>
          <w:rtl/>
        </w:rPr>
        <w:t xml:space="preserve">בנוסף, אינני מתעלם מהבקשה אותה הגישה </w:t>
      </w:r>
      <w:r w:rsidR="00474E6D">
        <w:rPr>
          <w:rFonts w:ascii="Arial" w:hAnsi="Arial" w:hint="cs"/>
          <w:noProof w:val="0"/>
          <w:rtl/>
        </w:rPr>
        <w:t>אלמונית 1</w:t>
      </w:r>
      <w:r>
        <w:rPr>
          <w:rFonts w:ascii="Arial" w:hAnsi="Arial" w:hint="cs"/>
          <w:noProof w:val="0"/>
          <w:rtl/>
        </w:rPr>
        <w:t xml:space="preserve"> ביום 4/4/24, ובה עתרה למתן ארכה עד לקבלת ייצוג משפטי.  אמנם ברגיל ייטה בית המשפט להיעתר לבקשות מסוג זה, בפרט כאשר מדובר בצד להליך שאינו מיוצג, קל וחומר בבית המשפט למשפחה.  עם זאת, דומני כי במקרה זה, אין מקום לאפשר שהות נוספת, </w:t>
      </w:r>
      <w:r w:rsidR="006A7B42">
        <w:rPr>
          <w:rFonts w:ascii="Arial" w:hAnsi="Arial" w:hint="cs"/>
          <w:noProof w:val="0"/>
          <w:rtl/>
        </w:rPr>
        <w:t xml:space="preserve">שכן, אינני רואה כל אפשרות כי עורך דין מטעמה של </w:t>
      </w:r>
      <w:r w:rsidR="00474E6D">
        <w:rPr>
          <w:rFonts w:ascii="Arial" w:hAnsi="Arial" w:hint="cs"/>
          <w:noProof w:val="0"/>
          <w:rtl/>
        </w:rPr>
        <w:t>אלמונית 1</w:t>
      </w:r>
      <w:r w:rsidR="006A7B42">
        <w:rPr>
          <w:rFonts w:ascii="Arial" w:hAnsi="Arial" w:hint="cs"/>
          <w:noProof w:val="0"/>
          <w:rtl/>
        </w:rPr>
        <w:t xml:space="preserve"> יצליח לשנות את התוצאה, לבטח בהליך </w:t>
      </w:r>
      <w:r w:rsidR="009675C8">
        <w:rPr>
          <w:rFonts w:ascii="Arial" w:hAnsi="Arial" w:hint="cs"/>
          <w:noProof w:val="0"/>
          <w:rtl/>
        </w:rPr>
        <w:t xml:space="preserve">הנוכחי. </w:t>
      </w:r>
      <w:r w:rsidR="006A7B42">
        <w:rPr>
          <w:rFonts w:ascii="Arial" w:hAnsi="Arial" w:hint="cs"/>
          <w:noProof w:val="0"/>
          <w:rtl/>
        </w:rPr>
        <w:t xml:space="preserve">   </w:t>
      </w:r>
    </w:p>
    <w:p w:rsidR="009675C8" w:rsidRDefault="009675C8" w:rsidP="009675C8">
      <w:pPr>
        <w:pStyle w:val="ad"/>
        <w:rPr>
          <w:rFonts w:ascii="Arial" w:hAnsi="Arial"/>
          <w:b/>
          <w:bCs/>
          <w:noProof w:val="0"/>
          <w:rtl/>
        </w:rPr>
      </w:pPr>
    </w:p>
    <w:p w:rsidR="00372F35" w:rsidRPr="00B011B6" w:rsidRDefault="00A17E46" w:rsidP="00B011B6">
      <w:pPr>
        <w:numPr>
          <w:ilvl w:val="0"/>
          <w:numId w:val="1"/>
        </w:numPr>
        <w:spacing w:after="160" w:line="360" w:lineRule="auto"/>
        <w:contextualSpacing/>
        <w:jc w:val="both"/>
        <w:rPr>
          <w:rFonts w:ascii="Arial" w:hAnsi="Arial"/>
          <w:b/>
          <w:bCs/>
          <w:noProof w:val="0"/>
        </w:rPr>
      </w:pPr>
      <w:r w:rsidRPr="00D200E5">
        <w:rPr>
          <w:rFonts w:ascii="Arial" w:hAnsi="Arial" w:hint="cs"/>
          <w:b/>
          <w:bCs/>
          <w:noProof w:val="0"/>
          <w:rtl/>
        </w:rPr>
        <w:t xml:space="preserve">במלים אחרות, </w:t>
      </w:r>
      <w:r w:rsidR="006A7B42" w:rsidRPr="00D200E5">
        <w:rPr>
          <w:rFonts w:ascii="Arial" w:hAnsi="Arial" w:hint="cs"/>
          <w:b/>
          <w:bCs/>
          <w:noProof w:val="0"/>
          <w:rtl/>
        </w:rPr>
        <w:t xml:space="preserve"> גם אם סבורה </w:t>
      </w:r>
      <w:r w:rsidR="00474E6D">
        <w:rPr>
          <w:rFonts w:ascii="Arial" w:hAnsi="Arial" w:hint="cs"/>
          <w:b/>
          <w:bCs/>
          <w:noProof w:val="0"/>
          <w:rtl/>
        </w:rPr>
        <w:t>אלמונית 1</w:t>
      </w:r>
      <w:r w:rsidR="006A7B42" w:rsidRPr="00D200E5">
        <w:rPr>
          <w:rFonts w:ascii="Arial" w:hAnsi="Arial" w:hint="cs"/>
          <w:b/>
          <w:bCs/>
          <w:noProof w:val="0"/>
          <w:rtl/>
        </w:rPr>
        <w:t xml:space="preserve"> כי כלל פסקי הדין שניתנו </w:t>
      </w:r>
      <w:r w:rsidR="009675C8" w:rsidRPr="00D200E5">
        <w:rPr>
          <w:rFonts w:ascii="Arial" w:hAnsi="Arial" w:hint="cs"/>
          <w:b/>
          <w:bCs/>
          <w:noProof w:val="0"/>
          <w:rtl/>
        </w:rPr>
        <w:t xml:space="preserve">בעניינה </w:t>
      </w:r>
      <w:r w:rsidR="006A7B42" w:rsidRPr="00D200E5">
        <w:rPr>
          <w:rFonts w:ascii="Arial" w:hAnsi="Arial" w:hint="cs"/>
          <w:b/>
          <w:bCs/>
          <w:noProof w:val="0"/>
          <w:rtl/>
        </w:rPr>
        <w:t xml:space="preserve">שגויים, עדיין,  ע"פ המצב המשפטי </w:t>
      </w:r>
      <w:r w:rsidR="009675C8" w:rsidRPr="00D200E5">
        <w:rPr>
          <w:rFonts w:ascii="Arial" w:hAnsi="Arial" w:hint="cs"/>
          <w:b/>
          <w:bCs/>
          <w:noProof w:val="0"/>
          <w:rtl/>
        </w:rPr>
        <w:t xml:space="preserve">לעת הזו, </w:t>
      </w:r>
      <w:r w:rsidR="006A7B42" w:rsidRPr="00D200E5">
        <w:rPr>
          <w:rFonts w:ascii="Arial" w:hAnsi="Arial" w:hint="cs"/>
          <w:b/>
          <w:bCs/>
          <w:noProof w:val="0"/>
          <w:u w:val="single"/>
          <w:rtl/>
        </w:rPr>
        <w:t>צוואתה של המנוחה תקפה</w:t>
      </w:r>
      <w:r w:rsidRPr="00D200E5">
        <w:rPr>
          <w:rFonts w:ascii="Arial" w:hAnsi="Arial" w:hint="cs"/>
          <w:b/>
          <w:bCs/>
          <w:noProof w:val="0"/>
          <w:u w:val="single"/>
          <w:rtl/>
        </w:rPr>
        <w:t xml:space="preserve">. </w:t>
      </w:r>
      <w:r w:rsidR="006A7B42" w:rsidRPr="00D200E5">
        <w:rPr>
          <w:rFonts w:ascii="Arial" w:hAnsi="Arial" w:hint="cs"/>
          <w:b/>
          <w:bCs/>
          <w:noProof w:val="0"/>
          <w:rtl/>
        </w:rPr>
        <w:t>הדרך ה</w:t>
      </w:r>
      <w:r w:rsidRPr="00D200E5">
        <w:rPr>
          <w:rFonts w:ascii="Arial" w:hAnsi="Arial" w:hint="cs"/>
          <w:b/>
          <w:bCs/>
          <w:noProof w:val="0"/>
          <w:rtl/>
        </w:rPr>
        <w:t xml:space="preserve">משפטית </w:t>
      </w:r>
      <w:r w:rsidR="00D200E5" w:rsidRPr="00D200E5">
        <w:rPr>
          <w:rFonts w:ascii="Arial" w:hAnsi="Arial" w:hint="cs"/>
          <w:b/>
          <w:bCs/>
          <w:noProof w:val="0"/>
          <w:rtl/>
        </w:rPr>
        <w:t xml:space="preserve">באמצעותה ניתן </w:t>
      </w:r>
      <w:r w:rsidR="006A7B42" w:rsidRPr="00D200E5">
        <w:rPr>
          <w:rFonts w:ascii="Arial" w:hAnsi="Arial" w:hint="cs"/>
          <w:b/>
          <w:bCs/>
          <w:noProof w:val="0"/>
          <w:rtl/>
        </w:rPr>
        <w:t xml:space="preserve">להביא לביטול </w:t>
      </w:r>
      <w:r w:rsidR="00D200E5" w:rsidRPr="00D200E5">
        <w:rPr>
          <w:rFonts w:ascii="Arial" w:hAnsi="Arial" w:hint="cs"/>
          <w:b/>
          <w:bCs/>
          <w:noProof w:val="0"/>
          <w:rtl/>
        </w:rPr>
        <w:t xml:space="preserve">או שינוי </w:t>
      </w:r>
      <w:r w:rsidR="006A7B42" w:rsidRPr="00D200E5">
        <w:rPr>
          <w:rFonts w:ascii="Arial" w:hAnsi="Arial" w:hint="cs"/>
          <w:b/>
          <w:bCs/>
          <w:noProof w:val="0"/>
          <w:rtl/>
        </w:rPr>
        <w:t>צוואה תקפה</w:t>
      </w:r>
      <w:r w:rsidRPr="00D200E5">
        <w:rPr>
          <w:rFonts w:ascii="Arial" w:hAnsi="Arial" w:hint="cs"/>
          <w:b/>
          <w:bCs/>
          <w:noProof w:val="0"/>
          <w:rtl/>
        </w:rPr>
        <w:t xml:space="preserve">, קבועה בהוראות </w:t>
      </w:r>
      <w:r w:rsidR="00D200E5" w:rsidRPr="00D200E5">
        <w:rPr>
          <w:rFonts w:ascii="Arial" w:hAnsi="Arial" w:hint="cs"/>
          <w:b/>
          <w:bCs/>
          <w:noProof w:val="0"/>
          <w:rtl/>
        </w:rPr>
        <w:t>ס' 72 לחוק הירושה</w:t>
      </w:r>
      <w:r w:rsidR="00B011B6">
        <w:rPr>
          <w:rFonts w:ascii="Arial" w:hAnsi="Arial" w:hint="cs"/>
          <w:b/>
          <w:bCs/>
          <w:noProof w:val="0"/>
          <w:rtl/>
        </w:rPr>
        <w:t xml:space="preserve">. במקרה זה </w:t>
      </w:r>
      <w:r w:rsidR="00474E6D">
        <w:rPr>
          <w:rFonts w:ascii="Arial" w:hAnsi="Arial" w:hint="cs"/>
          <w:b/>
          <w:bCs/>
          <w:noProof w:val="0"/>
          <w:rtl/>
        </w:rPr>
        <w:t>אלמונית 1</w:t>
      </w:r>
      <w:r w:rsidR="00B011B6">
        <w:rPr>
          <w:rFonts w:ascii="Arial" w:hAnsi="Arial" w:hint="cs"/>
          <w:b/>
          <w:bCs/>
          <w:noProof w:val="0"/>
          <w:rtl/>
        </w:rPr>
        <w:t xml:space="preserve"> פעלה בעבר והגישה בקשה בהתאם, אשר נדחתה, וספק רב, אם ניתן כיום להשיב את הגלגל לאחור.   מכל מקום ברור כי אין כל מקום לאפשר לפעול בדרך בה פעלה </w:t>
      </w:r>
      <w:r w:rsidR="00474E6D">
        <w:rPr>
          <w:rFonts w:ascii="Arial" w:hAnsi="Arial" w:hint="cs"/>
          <w:b/>
          <w:bCs/>
          <w:noProof w:val="0"/>
          <w:rtl/>
        </w:rPr>
        <w:lastRenderedPageBreak/>
        <w:t>אלמונית 1</w:t>
      </w:r>
      <w:r w:rsidR="00B011B6">
        <w:rPr>
          <w:rFonts w:ascii="Arial" w:hAnsi="Arial" w:hint="cs"/>
          <w:b/>
          <w:bCs/>
          <w:noProof w:val="0"/>
          <w:rtl/>
        </w:rPr>
        <w:t xml:space="preserve">, </w:t>
      </w:r>
      <w:r w:rsidR="006A7B42" w:rsidRPr="00B011B6">
        <w:rPr>
          <w:rFonts w:ascii="Arial" w:hAnsi="Arial" w:hint="cs"/>
          <w:b/>
          <w:bCs/>
          <w:noProof w:val="0"/>
          <w:rtl/>
        </w:rPr>
        <w:t>ב</w:t>
      </w:r>
      <w:r w:rsidRPr="00B011B6">
        <w:rPr>
          <w:rFonts w:ascii="Arial" w:hAnsi="Arial" w:hint="cs"/>
          <w:b/>
          <w:bCs/>
          <w:noProof w:val="0"/>
          <w:rtl/>
        </w:rPr>
        <w:t xml:space="preserve">אמצעות </w:t>
      </w:r>
      <w:r w:rsidR="00D200E5" w:rsidRPr="00B011B6">
        <w:rPr>
          <w:rFonts w:ascii="Arial" w:hAnsi="Arial" w:hint="cs"/>
          <w:b/>
          <w:bCs/>
          <w:noProof w:val="0"/>
          <w:rtl/>
        </w:rPr>
        <w:t>הגשת בקשה ל</w:t>
      </w:r>
      <w:r w:rsidR="006A7B42" w:rsidRPr="00B011B6">
        <w:rPr>
          <w:rFonts w:ascii="Arial" w:hAnsi="Arial" w:hint="cs"/>
          <w:b/>
          <w:bCs/>
          <w:noProof w:val="0"/>
          <w:rtl/>
        </w:rPr>
        <w:t xml:space="preserve">צו ירושה, </w:t>
      </w:r>
      <w:r w:rsidR="00D200E5" w:rsidRPr="00B011B6">
        <w:rPr>
          <w:rFonts w:ascii="Arial" w:hAnsi="Arial" w:hint="cs"/>
          <w:b/>
          <w:bCs/>
          <w:noProof w:val="0"/>
          <w:rtl/>
        </w:rPr>
        <w:t>תוך הסתרה, ואי</w:t>
      </w:r>
      <w:r w:rsidR="006A7B42" w:rsidRPr="00B011B6">
        <w:rPr>
          <w:rFonts w:ascii="Arial" w:hAnsi="Arial" w:hint="cs"/>
          <w:b/>
          <w:bCs/>
          <w:noProof w:val="0"/>
          <w:rtl/>
        </w:rPr>
        <w:t xml:space="preserve"> גילוי כל הדרוש, </w:t>
      </w:r>
      <w:r w:rsidR="00D200E5" w:rsidRPr="00B011B6">
        <w:rPr>
          <w:rFonts w:ascii="Arial" w:hAnsi="Arial" w:hint="cs"/>
          <w:b/>
          <w:bCs/>
          <w:noProof w:val="0"/>
          <w:rtl/>
        </w:rPr>
        <w:t xml:space="preserve">וקבלת צו פגום מעיקרו, </w:t>
      </w:r>
      <w:r w:rsidRPr="00B011B6">
        <w:rPr>
          <w:rFonts w:ascii="Arial" w:hAnsi="Arial" w:hint="cs"/>
          <w:b/>
          <w:bCs/>
          <w:noProof w:val="0"/>
          <w:rtl/>
        </w:rPr>
        <w:t>ה</w:t>
      </w:r>
      <w:r w:rsidR="006A7B42" w:rsidRPr="00B011B6">
        <w:rPr>
          <w:rFonts w:ascii="Arial" w:hAnsi="Arial" w:hint="cs"/>
          <w:b/>
          <w:bCs/>
          <w:noProof w:val="0"/>
          <w:rtl/>
        </w:rPr>
        <w:t xml:space="preserve">עומד בסתירה מוחלטת </w:t>
      </w:r>
      <w:r w:rsidRPr="00B011B6">
        <w:rPr>
          <w:rFonts w:ascii="Arial" w:hAnsi="Arial" w:hint="cs"/>
          <w:b/>
          <w:bCs/>
          <w:noProof w:val="0"/>
          <w:rtl/>
        </w:rPr>
        <w:t xml:space="preserve">ישירה וגלויה מול </w:t>
      </w:r>
      <w:r w:rsidR="006A7B42" w:rsidRPr="00B011B6">
        <w:rPr>
          <w:rFonts w:ascii="Arial" w:hAnsi="Arial" w:hint="cs"/>
          <w:b/>
          <w:bCs/>
          <w:noProof w:val="0"/>
          <w:rtl/>
        </w:rPr>
        <w:t>צו הקיום שניתן, המהווה דין לכל דבר ועניין</w:t>
      </w:r>
      <w:r w:rsidR="00281EED" w:rsidRPr="00B011B6">
        <w:rPr>
          <w:rFonts w:ascii="Arial" w:hAnsi="Arial" w:hint="cs"/>
          <w:b/>
          <w:bCs/>
          <w:noProof w:val="0"/>
          <w:rtl/>
        </w:rPr>
        <w:t>, וכוחו יפה כלפי כל העולם כך ע"פ הוראות ס' 71 לחוק הירושה.</w:t>
      </w:r>
    </w:p>
    <w:p w:rsidR="00256E1B" w:rsidRPr="00B011B6" w:rsidRDefault="00256E1B" w:rsidP="00256E1B">
      <w:pPr>
        <w:pStyle w:val="ad"/>
        <w:rPr>
          <w:rFonts w:ascii="Arial" w:hAnsi="Arial"/>
          <w:noProof w:val="0"/>
          <w:rtl/>
        </w:rPr>
      </w:pPr>
    </w:p>
    <w:p w:rsidR="00FA1DB5" w:rsidRPr="00FA1DB5" w:rsidRDefault="00FA1DB5" w:rsidP="00FA1DB5">
      <w:pPr>
        <w:spacing w:after="160" w:line="256" w:lineRule="auto"/>
        <w:ind w:left="720"/>
        <w:contextualSpacing/>
        <w:rPr>
          <w:rFonts w:ascii="David" w:hAnsi="David"/>
          <w:b/>
          <w:bCs/>
          <w:noProof w:val="0"/>
          <w:rtl/>
        </w:rPr>
      </w:pPr>
    </w:p>
    <w:p w:rsidR="00FA1DB5" w:rsidRPr="00FA1DB5" w:rsidRDefault="00FA1DB5" w:rsidP="00FA1DB5">
      <w:pPr>
        <w:spacing w:after="160" w:line="256" w:lineRule="auto"/>
        <w:ind w:left="720"/>
        <w:contextualSpacing/>
        <w:rPr>
          <w:rFonts w:ascii="David" w:hAnsi="David"/>
          <w:b/>
          <w:bCs/>
          <w:noProof w:val="0"/>
          <w:u w:val="single"/>
          <w:rtl/>
        </w:rPr>
      </w:pPr>
      <w:r w:rsidRPr="00FA1DB5">
        <w:rPr>
          <w:rFonts w:ascii="David" w:hAnsi="David"/>
          <w:b/>
          <w:bCs/>
          <w:noProof w:val="0"/>
          <w:u w:val="single"/>
          <w:rtl/>
        </w:rPr>
        <w:t xml:space="preserve">סוף דבר: </w:t>
      </w:r>
    </w:p>
    <w:p w:rsidR="00FA1DB5" w:rsidRPr="00FA1DB5" w:rsidRDefault="00FA1DB5" w:rsidP="00FA1DB5">
      <w:pPr>
        <w:spacing w:after="160" w:line="256" w:lineRule="auto"/>
        <w:rPr>
          <w:rFonts w:ascii="David" w:hAnsi="David"/>
          <w:b/>
          <w:bCs/>
          <w:noProof w:val="0"/>
          <w:rtl/>
        </w:rPr>
      </w:pPr>
    </w:p>
    <w:p w:rsidR="00FA1DB5" w:rsidRPr="00FA1DB5" w:rsidRDefault="00FA1DB5" w:rsidP="00256E1B">
      <w:pPr>
        <w:numPr>
          <w:ilvl w:val="0"/>
          <w:numId w:val="1"/>
        </w:numPr>
        <w:spacing w:after="160" w:line="360" w:lineRule="auto"/>
        <w:ind w:left="1494"/>
        <w:contextualSpacing/>
        <w:rPr>
          <w:rFonts w:ascii="David" w:hAnsi="David"/>
          <w:noProof w:val="0"/>
          <w:rtl/>
        </w:rPr>
      </w:pPr>
      <w:r w:rsidRPr="00FA1DB5">
        <w:rPr>
          <w:rFonts w:ascii="David" w:hAnsi="David"/>
          <w:noProof w:val="0"/>
          <w:rtl/>
        </w:rPr>
        <w:t>הבקשה לסילוק על הסף מתקבל</w:t>
      </w:r>
      <w:r w:rsidR="0064158D">
        <w:rPr>
          <w:rFonts w:ascii="David" w:hAnsi="David" w:hint="cs"/>
          <w:noProof w:val="0"/>
          <w:rtl/>
        </w:rPr>
        <w:t>ת</w:t>
      </w:r>
      <w:r w:rsidR="00256E1B">
        <w:rPr>
          <w:rFonts w:ascii="David" w:hAnsi="David" w:hint="cs"/>
          <w:noProof w:val="0"/>
          <w:rtl/>
        </w:rPr>
        <w:t xml:space="preserve">. </w:t>
      </w:r>
    </w:p>
    <w:p w:rsidR="00FA1DB5" w:rsidRPr="00FA1DB5" w:rsidRDefault="00FA1DB5" w:rsidP="00FA1DB5">
      <w:pPr>
        <w:spacing w:after="160" w:line="360" w:lineRule="auto"/>
        <w:ind w:left="1494"/>
        <w:contextualSpacing/>
        <w:rPr>
          <w:rFonts w:ascii="David" w:hAnsi="David"/>
          <w:noProof w:val="0"/>
        </w:rPr>
      </w:pPr>
    </w:p>
    <w:p w:rsidR="00FA1DB5" w:rsidRPr="00FA1DB5" w:rsidRDefault="00FA1DB5" w:rsidP="00FA1DB5">
      <w:pPr>
        <w:numPr>
          <w:ilvl w:val="0"/>
          <w:numId w:val="1"/>
        </w:numPr>
        <w:spacing w:after="160" w:line="360" w:lineRule="auto"/>
        <w:ind w:left="1494"/>
        <w:contextualSpacing/>
        <w:rPr>
          <w:rFonts w:ascii="David" w:hAnsi="David"/>
          <w:noProof w:val="0"/>
        </w:rPr>
      </w:pPr>
      <w:r w:rsidRPr="00FA1DB5">
        <w:rPr>
          <w:rFonts w:ascii="David" w:hAnsi="David"/>
          <w:noProof w:val="0"/>
          <w:rtl/>
        </w:rPr>
        <w:t xml:space="preserve">צו הירושה שניתן ביום 22.11.2023 </w:t>
      </w:r>
      <w:r w:rsidR="0064158D">
        <w:rPr>
          <w:rFonts w:ascii="David" w:hAnsi="David" w:hint="cs"/>
          <w:noProof w:val="0"/>
          <w:rtl/>
        </w:rPr>
        <w:t xml:space="preserve">בעניינה של המנוחה </w:t>
      </w:r>
      <w:r w:rsidRPr="00FA1DB5">
        <w:rPr>
          <w:rFonts w:ascii="David" w:hAnsi="David"/>
          <w:noProof w:val="0"/>
          <w:rtl/>
        </w:rPr>
        <w:t>– בטל.</w:t>
      </w:r>
    </w:p>
    <w:p w:rsidR="00FA1DB5" w:rsidRPr="00FA1DB5" w:rsidRDefault="00FA1DB5" w:rsidP="00FA1DB5">
      <w:pPr>
        <w:spacing w:after="160" w:line="360" w:lineRule="auto"/>
        <w:ind w:left="1494"/>
        <w:contextualSpacing/>
        <w:rPr>
          <w:rFonts w:ascii="David" w:hAnsi="David"/>
          <w:noProof w:val="0"/>
        </w:rPr>
      </w:pPr>
    </w:p>
    <w:p w:rsidR="00694556" w:rsidRDefault="00FA1DB5" w:rsidP="0064158D">
      <w:pPr>
        <w:numPr>
          <w:ilvl w:val="0"/>
          <w:numId w:val="1"/>
        </w:numPr>
        <w:spacing w:after="160" w:line="360" w:lineRule="auto"/>
        <w:ind w:left="1494"/>
        <w:contextualSpacing/>
        <w:jc w:val="both"/>
        <w:rPr>
          <w:rFonts w:ascii="Arial" w:hAnsi="Arial"/>
          <w:noProof w:val="0"/>
        </w:rPr>
      </w:pPr>
      <w:r w:rsidRPr="009675C8">
        <w:rPr>
          <w:rFonts w:ascii="David" w:hAnsi="David"/>
          <w:noProof w:val="0"/>
          <w:rtl/>
        </w:rPr>
        <w:t>הוצאות –</w:t>
      </w:r>
      <w:r w:rsidR="00A17E46" w:rsidRPr="009675C8">
        <w:rPr>
          <w:rFonts w:ascii="David" w:hAnsi="David" w:hint="cs"/>
          <w:noProof w:val="0"/>
          <w:rtl/>
        </w:rPr>
        <w:t xml:space="preserve"> לאחר ששקלתי כלל השיקולים, לרבות השלב המקדמי בו הסתיים ההליך, ומנגד, העובדה כי פנייתה של </w:t>
      </w:r>
      <w:r w:rsidR="00474E6D">
        <w:rPr>
          <w:rFonts w:ascii="David" w:hAnsi="David" w:hint="cs"/>
          <w:noProof w:val="0"/>
          <w:rtl/>
        </w:rPr>
        <w:t>אלמונית 1</w:t>
      </w:r>
      <w:r w:rsidR="00A17E46" w:rsidRPr="009675C8">
        <w:rPr>
          <w:rFonts w:ascii="David" w:hAnsi="David" w:hint="cs"/>
          <w:noProof w:val="0"/>
          <w:rtl/>
        </w:rPr>
        <w:t xml:space="preserve"> אל רשם הירושה</w:t>
      </w:r>
      <w:r w:rsidR="0064158D">
        <w:rPr>
          <w:rFonts w:ascii="David" w:hAnsi="David" w:hint="cs"/>
          <w:noProof w:val="0"/>
          <w:rtl/>
        </w:rPr>
        <w:t xml:space="preserve"> נעשתה שלא בתום לב, ללא </w:t>
      </w:r>
      <w:r w:rsidR="00A17E46" w:rsidRPr="009675C8">
        <w:rPr>
          <w:rFonts w:ascii="David" w:hAnsi="David" w:hint="cs"/>
          <w:noProof w:val="0"/>
          <w:rtl/>
        </w:rPr>
        <w:t xml:space="preserve">גילוי כלל הנתונים הדרושים, שהיו בידיעתה, ועקב כך, נגרמה תקלה </w:t>
      </w:r>
      <w:r w:rsidR="0064158D">
        <w:rPr>
          <w:rFonts w:ascii="David" w:hAnsi="David" w:hint="cs"/>
          <w:noProof w:val="0"/>
          <w:rtl/>
        </w:rPr>
        <w:t>חמורה ו</w:t>
      </w:r>
      <w:r w:rsidR="00A17E46" w:rsidRPr="009675C8">
        <w:rPr>
          <w:rFonts w:ascii="David" w:hAnsi="David" w:hint="cs"/>
          <w:noProof w:val="0"/>
          <w:rtl/>
        </w:rPr>
        <w:t xml:space="preserve">משמעותית, ואף ניתן צו ירושה, אני מחייב את </w:t>
      </w:r>
      <w:r w:rsidR="00474E6D">
        <w:rPr>
          <w:rFonts w:ascii="David" w:hAnsi="David" w:hint="cs"/>
          <w:noProof w:val="0"/>
          <w:rtl/>
        </w:rPr>
        <w:t>אלמונית 1</w:t>
      </w:r>
      <w:r w:rsidR="00A17E46" w:rsidRPr="009675C8">
        <w:rPr>
          <w:rFonts w:ascii="David" w:hAnsi="David" w:hint="cs"/>
          <w:noProof w:val="0"/>
          <w:rtl/>
        </w:rPr>
        <w:t xml:space="preserve"> לשלם ל</w:t>
      </w:r>
      <w:r w:rsidR="00474E6D">
        <w:rPr>
          <w:rFonts w:ascii="David" w:hAnsi="David" w:hint="cs"/>
          <w:noProof w:val="0"/>
          <w:rtl/>
        </w:rPr>
        <w:t>פלוני</w:t>
      </w:r>
      <w:r w:rsidR="00A17E46" w:rsidRPr="009675C8">
        <w:rPr>
          <w:rFonts w:ascii="David" w:hAnsi="David" w:hint="cs"/>
          <w:noProof w:val="0"/>
          <w:rtl/>
        </w:rPr>
        <w:t>, הו</w:t>
      </w:r>
      <w:r w:rsidR="009675C8" w:rsidRPr="009675C8">
        <w:rPr>
          <w:rFonts w:ascii="David" w:hAnsi="David" w:hint="cs"/>
          <w:noProof w:val="0"/>
          <w:rtl/>
        </w:rPr>
        <w:t xml:space="preserve">צאות ההליך ושכ"ט עו"ד, ברף הנמוך, בסך של </w:t>
      </w:r>
      <w:r w:rsidR="0064158D">
        <w:rPr>
          <w:rFonts w:ascii="David" w:hAnsi="David" w:hint="cs"/>
          <w:noProof w:val="0"/>
          <w:rtl/>
        </w:rPr>
        <w:t xml:space="preserve">7,500 </w:t>
      </w:r>
      <w:r w:rsidR="009675C8" w:rsidRPr="009675C8">
        <w:rPr>
          <w:rFonts w:ascii="David" w:hAnsi="David" w:hint="cs"/>
          <w:noProof w:val="0"/>
          <w:rtl/>
        </w:rPr>
        <w:t>₪</w:t>
      </w:r>
      <w:r w:rsidR="0064158D">
        <w:rPr>
          <w:rFonts w:ascii="David" w:hAnsi="David" w:hint="cs"/>
          <w:noProof w:val="0"/>
          <w:rtl/>
        </w:rPr>
        <w:t xml:space="preserve">. בנוסף, אני מחייב את </w:t>
      </w:r>
      <w:r w:rsidR="00474E6D">
        <w:rPr>
          <w:rFonts w:ascii="David" w:hAnsi="David" w:hint="cs"/>
          <w:noProof w:val="0"/>
          <w:rtl/>
        </w:rPr>
        <w:t>אלמונית 1</w:t>
      </w:r>
      <w:r w:rsidR="0064158D">
        <w:rPr>
          <w:rFonts w:ascii="David" w:hAnsi="David" w:hint="cs"/>
          <w:noProof w:val="0"/>
          <w:rtl/>
        </w:rPr>
        <w:t xml:space="preserve"> לשלם הוצאות לטובת אוצר המדינה, בסך של 3,500 ש"ח</w:t>
      </w:r>
      <w:r w:rsidR="009675C8" w:rsidRPr="009675C8">
        <w:rPr>
          <w:rFonts w:ascii="David" w:hAnsi="David" w:hint="cs"/>
          <w:noProof w:val="0"/>
          <w:rtl/>
        </w:rPr>
        <w:t xml:space="preserve">.  </w:t>
      </w:r>
    </w:p>
    <w:p w:rsidR="009675C8" w:rsidRDefault="009675C8" w:rsidP="009675C8">
      <w:pPr>
        <w:pStyle w:val="ad"/>
        <w:rPr>
          <w:rFonts w:ascii="Arial" w:hAnsi="Arial"/>
          <w:noProof w:val="0"/>
          <w:rtl/>
        </w:rPr>
      </w:pPr>
    </w:p>
    <w:p w:rsidR="009675C8" w:rsidRPr="009675C8" w:rsidRDefault="009675C8" w:rsidP="0030281F">
      <w:pPr>
        <w:numPr>
          <w:ilvl w:val="0"/>
          <w:numId w:val="1"/>
        </w:numPr>
        <w:spacing w:after="160" w:line="360" w:lineRule="auto"/>
        <w:ind w:left="1494"/>
        <w:contextualSpacing/>
        <w:jc w:val="both"/>
        <w:rPr>
          <w:rFonts w:ascii="Arial" w:hAnsi="Arial"/>
          <w:noProof w:val="0"/>
          <w:rtl/>
        </w:rPr>
      </w:pPr>
      <w:r>
        <w:rPr>
          <w:rFonts w:ascii="Arial" w:hAnsi="Arial" w:hint="cs"/>
          <w:noProof w:val="0"/>
          <w:rtl/>
        </w:rPr>
        <w:t>זכות ערעור כחוק.</w:t>
      </w:r>
    </w:p>
    <w:p w:rsidR="00694556" w:rsidRDefault="00694556">
      <w:pPr>
        <w:spacing w:line="360" w:lineRule="auto"/>
        <w:jc w:val="both"/>
        <w:rPr>
          <w:rFonts w:ascii="Arial" w:hAnsi="Arial"/>
          <w:noProof w:val="0"/>
          <w:rtl/>
        </w:rPr>
      </w:pPr>
    </w:p>
    <w:p w:rsidR="00694556" w:rsidRPr="009675C8" w:rsidRDefault="009675C8" w:rsidP="009675C8">
      <w:pPr>
        <w:spacing w:line="360" w:lineRule="auto"/>
        <w:jc w:val="both"/>
        <w:rPr>
          <w:rFonts w:ascii="Arial" w:hAnsi="Arial"/>
          <w:b/>
          <w:bCs/>
          <w:noProof w:val="0"/>
          <w:u w:val="single"/>
          <w:rtl/>
        </w:rPr>
      </w:pPr>
      <w:r w:rsidRPr="009675C8">
        <w:rPr>
          <w:rFonts w:ascii="Arial" w:hAnsi="Arial" w:hint="cs"/>
          <w:b/>
          <w:bCs/>
          <w:noProof w:val="0"/>
          <w:u w:val="single"/>
          <w:rtl/>
        </w:rPr>
        <w:t>המזכירות תמציא לצדדים ותסגור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אפריל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E67B2" w:rsidP="0064158D">
      <w:pPr>
        <w:spacing w:line="360" w:lineRule="auto"/>
        <w:ind w:left="3600" w:firstLine="720"/>
      </w:pPr>
      <w:sdt>
        <w:sdtPr>
          <w:rPr>
            <w:rtl/>
          </w:rPr>
          <w:alias w:val="MergeField"/>
          <w:tag w:val="1237"/>
          <w:id w:val="-854196665"/>
        </w:sdtPr>
        <w:sdtEndPr/>
        <w:sdtContent>
          <w:r w:rsidR="00422579">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64158D">
      <w:pPr>
        <w:spacing w:line="360" w:lineRule="auto"/>
        <w:ind w:left="3600" w:firstLine="720"/>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7B2" w:rsidRDefault="009E67B2">
      <w:r>
        <w:separator/>
      </w:r>
    </w:p>
  </w:endnote>
  <w:endnote w:type="continuationSeparator" w:id="0">
    <w:p w:rsidR="009E67B2" w:rsidRDefault="009E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BC8" w:rsidRDefault="00662BC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61924">
      <w:rPr>
        <w:rStyle w:val="ab"/>
        <w:rFonts w:cs="Times New Roman"/>
        <w:rtl/>
      </w:rPr>
      <w:t>11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61924">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BC8" w:rsidRDefault="00662BC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7B2" w:rsidRDefault="009E67B2">
      <w:r>
        <w:separator/>
      </w:r>
    </w:p>
  </w:footnote>
  <w:footnote w:type="continuationSeparator" w:id="0">
    <w:p w:rsidR="009E67B2" w:rsidRDefault="009E6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BC8" w:rsidRDefault="00662B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E67B2" w:rsidP="00441828">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855A1">
                <w:rPr>
                  <w:b/>
                  <w:bCs/>
                  <w:noProof w:val="0"/>
                  <w:sz w:val="26"/>
                  <w:szCs w:val="26"/>
                  <w:rtl/>
                </w:rPr>
                <w:t>42215-01-24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41828">
                <w:rPr>
                  <w:rFonts w:hint="cs"/>
                  <w:b/>
                  <w:bCs/>
                  <w:noProof w:val="0"/>
                  <w:sz w:val="26"/>
                  <w:szCs w:val="26"/>
                  <w:rtl/>
                </w:rPr>
                <w:t>פלוני</w:t>
              </w:r>
              <w:r w:rsidR="00D855A1">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46516_4</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BC8" w:rsidRDefault="00662B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D6FB0"/>
    <w:multiLevelType w:val="hybridMultilevel"/>
    <w:tmpl w:val="445CF588"/>
    <w:lvl w:ilvl="0" w:tplc="A390558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EE03E10"/>
    <w:multiLevelType w:val="hybridMultilevel"/>
    <w:tmpl w:val="C896B904"/>
    <w:lvl w:ilvl="0" w:tplc="6228ED2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196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19648&amp;lt;/CaseID&amp;gt;_x000d__x000a_        &amp;lt;CaseMonth&amp;gt;1&amp;lt;/CaseMonth&amp;gt;_x000d__x000a_        &amp;lt;CaseYear&amp;gt;2024&amp;lt;/CaseYear&amp;gt;_x000d__x000a_        &amp;lt;CaseNumber&amp;gt;42215&amp;lt;/CaseNumber&amp;gt;_x000d__x000a_        &amp;lt;NumeratorGroupID&amp;gt;1&amp;lt;/NumeratorGroupID&amp;gt;_x000d__x000a_        &amp;lt;CaseName&amp;gt;פרחי נ&amp;#39; האפוטרופוס הכללי מחוז חיפה והצפון ואח&amp;#39;&amp;lt;/CaseName&amp;gt;_x000d__x000a_        &amp;lt;CourtID&amp;gt;26&amp;lt;/CourtID&amp;gt;_x000d__x000a_        &amp;lt;CaseTypeID&amp;gt;86&amp;lt;/CaseTypeID&amp;gt;_x000d__x000a_        &amp;lt;CaseInterestID&amp;gt;10298&amp;lt;/CaseInterestID&amp;gt;_x000d__x000a_        &amp;lt;CaseJudgeName&amp;gt;טל פפרני&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215-01-24&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1-18T07:00:00+02:00&amp;lt;/CaseOpenDate&amp;gt;_x000d__x000a_        &amp;lt;PleaTypeID&amp;gt;5&amp;lt;/PleaTypeID&amp;gt;_x000d__x000a_        &amp;lt;CourtLevelID&amp;gt;1&amp;lt;/CourtLevelID&amp;gt;_x000d__x000a_        &amp;lt;CourtLevelCaseTypeInterestID&amp;gt;1112&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התאם להחלטת השופט , ההחלטה והבקשה הועברה במייל למר איציק שטשוילי לשם העברה לכבוד הנשיא רון שפירא&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19648&amp;lt;/CaseID&amp;gt;_x000d__x000a_        &amp;lt;CaseMonth&amp;gt;1&amp;lt;/CaseMonth&amp;gt;_x000d__x000a_        &amp;lt;CaseYear&amp;gt;2024&amp;lt;/CaseYear&amp;gt;_x000d__x000a_        &amp;lt;CaseNumber&amp;gt;42215&amp;lt;/CaseNumber&amp;gt;_x000d__x000a_        &amp;lt;NumeratorGroupID&amp;gt;1&amp;lt;/NumeratorGroupID&amp;gt;_x000d__x000a_        &amp;lt;CaseName&amp;gt;פרחי נ&amp;#39; האפוטרופוס הכללי מחוז חיפה והצפון ואח&amp;#39;&amp;lt;/CaseName&amp;gt;_x000d__x000a_        &amp;lt;CourtID&amp;gt;26&amp;lt;/CourtID&amp;gt;_x000d__x000a_        &amp;lt;CaseTypeID&amp;gt;86&amp;lt;/CaseTypeID&amp;gt;_x000d__x000a_        &amp;lt;CaseInterestID&amp;gt;10298&amp;lt;/CaseInterestID&amp;gt;_x000d__x000a_        &amp;lt;CaseJudgeName&amp;gt;טל פפרני&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215-01-24&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4-01-18T07:00:00+02:00&amp;lt;/CaseOpenDate&amp;gt;_x000d__x000a_        &amp;lt;PleaTypeID&amp;gt;5&amp;lt;/PleaTypeID&amp;gt;_x000d__x000a_        &amp;lt;CourtLevelID&amp;gt;1&amp;lt;/CourtLevelID&amp;gt;_x000d__x000a_        &amp;lt;CourtLevelCaseTypeInterestID&amp;gt;1112&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התאם להחלטת השופט , ההחלטה והבקשה הועברה במייל למר איציק שטשוילי לשם העברה לכבוד הנשיא רון שפירא&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992711&amp;lt;/DecisionID&amp;gt;_x000d__x000a_        &amp;lt;DecisionName&amp;gt;פסק דין  שניתנה ע&amp;quot;י  טל פפרני&amp;lt;/DecisionName&amp;gt;_x000d__x000a_        &amp;lt;DecisionStatusID&amp;gt;1&amp;lt;/DecisionStatusID&amp;gt;_x000d__x000a_        &amp;lt;DecisionStatusChangeDate&amp;gt;2024-04-07T22:45:58.083+03:00&amp;lt;/DecisionStatusChangeDate&amp;gt;_x000d__x000a_        &amp;lt;DecisionSignatureDate&amp;gt;2024-04-07T13:13:50.447+03:00&amp;lt;/DecisionSignatureDate&amp;gt;_x000d__x000a_        &amp;lt;DecisionSignatureUserID&amp;gt;023095623@GOV.IL&amp;lt;/DecisionSignatureUserID&amp;gt;_x000d__x000a_        &amp;lt;DecisionCreateDate&amp;gt;2024-04-07T13:20:45.67+03:00&amp;lt;/DecisionCreateDate&amp;gt;_x000d__x000a_        &amp;lt;DecisionChangeDate&amp;gt;2024-04-07T22:46:00.21+03:00&amp;lt;/DecisionChangeDate&amp;gt;_x000d__x000a_        &amp;lt;DecisionChangeUserID&amp;gt;02309562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98169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572261@GOV.IL&amp;lt;/DecisionCreationUserID&amp;gt;_x000d__x000a_        &amp;lt;DecisionDisplayName&amp;gt;פסק דין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0992711&amp;lt;/DecisionID&amp;gt;_x000d__x000a_        &amp;lt;CaseID&amp;gt;80919648&amp;lt;/CaseID&amp;gt;_x000d__x000a_        &amp;lt;IsOriginal&amp;gt;true&amp;lt;/IsOriginal&amp;gt;_x000d__x000a_        &amp;lt;IsDeleted&amp;gt;false&amp;lt;/IsDeleted&amp;gt;_x000d__x000a_        &amp;lt;CaseName&amp;gt;פרחי נ&amp;#39; האפוטרופוס הכללי מחוז חיפה והצפון ואח&amp;#39;&amp;lt;/CaseName&amp;gt;_x000d__x000a_        &amp;lt;CaseDisplayIdentifier&amp;gt;42215-01-24 ת&amp;quot;ע&amp;lt;/CaseDisplayIdentifier&amp;gt;_x000d__x000a_      &amp;lt;/dt_DecisionCase&amp;gt;_x000d__x000a_    &amp;lt;/DecisionDS&amp;gt;_x000d__x000a_  &amp;lt;/diffgr:diffgram&amp;gt;_x000d__x000a_&amp;lt;/DecisionDS&amp;gt;"/>
    <w:docVar w:name="DecisionID" w:val="15099271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E202A"/>
    <w:rsid w:val="000F364C"/>
    <w:rsid w:val="001072A9"/>
    <w:rsid w:val="00121F97"/>
    <w:rsid w:val="001277D7"/>
    <w:rsid w:val="00132017"/>
    <w:rsid w:val="0014234E"/>
    <w:rsid w:val="00145A87"/>
    <w:rsid w:val="00161924"/>
    <w:rsid w:val="001C4003"/>
    <w:rsid w:val="001F5474"/>
    <w:rsid w:val="002352F7"/>
    <w:rsid w:val="00256E1B"/>
    <w:rsid w:val="0027277D"/>
    <w:rsid w:val="00281EED"/>
    <w:rsid w:val="002C3B1F"/>
    <w:rsid w:val="002E25F3"/>
    <w:rsid w:val="002F057E"/>
    <w:rsid w:val="00372F35"/>
    <w:rsid w:val="00381D3A"/>
    <w:rsid w:val="003823DA"/>
    <w:rsid w:val="003937FB"/>
    <w:rsid w:val="003A04EA"/>
    <w:rsid w:val="003F50E0"/>
    <w:rsid w:val="00410C8C"/>
    <w:rsid w:val="00422579"/>
    <w:rsid w:val="00424941"/>
    <w:rsid w:val="00424BC8"/>
    <w:rsid w:val="0043595F"/>
    <w:rsid w:val="00441828"/>
    <w:rsid w:val="00474E6D"/>
    <w:rsid w:val="0047645A"/>
    <w:rsid w:val="004B1BCE"/>
    <w:rsid w:val="004B7244"/>
    <w:rsid w:val="004D49A3"/>
    <w:rsid w:val="004D50AC"/>
    <w:rsid w:val="004E6E3C"/>
    <w:rsid w:val="005011D9"/>
    <w:rsid w:val="005124F1"/>
    <w:rsid w:val="00530BAD"/>
    <w:rsid w:val="00541598"/>
    <w:rsid w:val="00547DB7"/>
    <w:rsid w:val="00552953"/>
    <w:rsid w:val="00567324"/>
    <w:rsid w:val="0059365F"/>
    <w:rsid w:val="005B0F49"/>
    <w:rsid w:val="005C6007"/>
    <w:rsid w:val="005C7EC6"/>
    <w:rsid w:val="005D4BDB"/>
    <w:rsid w:val="00622BAA"/>
    <w:rsid w:val="0062472B"/>
    <w:rsid w:val="00625C89"/>
    <w:rsid w:val="00633C4F"/>
    <w:rsid w:val="0064158D"/>
    <w:rsid w:val="00662BC8"/>
    <w:rsid w:val="00671BD5"/>
    <w:rsid w:val="006805C1"/>
    <w:rsid w:val="006816EC"/>
    <w:rsid w:val="00694556"/>
    <w:rsid w:val="006A7B42"/>
    <w:rsid w:val="006E1A53"/>
    <w:rsid w:val="007056AA"/>
    <w:rsid w:val="00744F41"/>
    <w:rsid w:val="0076736C"/>
    <w:rsid w:val="007752B0"/>
    <w:rsid w:val="007A24FE"/>
    <w:rsid w:val="007A35AA"/>
    <w:rsid w:val="007F1048"/>
    <w:rsid w:val="00820005"/>
    <w:rsid w:val="00830C56"/>
    <w:rsid w:val="00846D27"/>
    <w:rsid w:val="00855E18"/>
    <w:rsid w:val="008610A7"/>
    <w:rsid w:val="008E1332"/>
    <w:rsid w:val="00903896"/>
    <w:rsid w:val="009068FF"/>
    <w:rsid w:val="00927813"/>
    <w:rsid w:val="00944D13"/>
    <w:rsid w:val="00955797"/>
    <w:rsid w:val="00957C90"/>
    <w:rsid w:val="009675C8"/>
    <w:rsid w:val="009B70F6"/>
    <w:rsid w:val="009C358E"/>
    <w:rsid w:val="009E0263"/>
    <w:rsid w:val="009E67B2"/>
    <w:rsid w:val="00A17E46"/>
    <w:rsid w:val="00A267CF"/>
    <w:rsid w:val="00A33C72"/>
    <w:rsid w:val="00A43458"/>
    <w:rsid w:val="00AC4E19"/>
    <w:rsid w:val="00AF1EC3"/>
    <w:rsid w:val="00AF1ED6"/>
    <w:rsid w:val="00B011B6"/>
    <w:rsid w:val="00B32C61"/>
    <w:rsid w:val="00B368FE"/>
    <w:rsid w:val="00B672D7"/>
    <w:rsid w:val="00B80CBD"/>
    <w:rsid w:val="00BA2FBA"/>
    <w:rsid w:val="00BC3369"/>
    <w:rsid w:val="00BF77EE"/>
    <w:rsid w:val="00C32E0F"/>
    <w:rsid w:val="00C42BF9"/>
    <w:rsid w:val="00C42C0F"/>
    <w:rsid w:val="00C80E1A"/>
    <w:rsid w:val="00C81BB3"/>
    <w:rsid w:val="00C83E56"/>
    <w:rsid w:val="00CC63CE"/>
    <w:rsid w:val="00D200E5"/>
    <w:rsid w:val="00D319B3"/>
    <w:rsid w:val="00D36A71"/>
    <w:rsid w:val="00D53924"/>
    <w:rsid w:val="00D60849"/>
    <w:rsid w:val="00D855A1"/>
    <w:rsid w:val="00D96D8C"/>
    <w:rsid w:val="00D9778C"/>
    <w:rsid w:val="00DA755B"/>
    <w:rsid w:val="00DD337E"/>
    <w:rsid w:val="00E00B6F"/>
    <w:rsid w:val="00E44DDF"/>
    <w:rsid w:val="00E46639"/>
    <w:rsid w:val="00E54642"/>
    <w:rsid w:val="00E77C2F"/>
    <w:rsid w:val="00E97908"/>
    <w:rsid w:val="00EF3ED0"/>
    <w:rsid w:val="00F17E56"/>
    <w:rsid w:val="00FA1DB5"/>
    <w:rsid w:val="00FD6A3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752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19170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2370027">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71945"/>
    <w:rsid w:val="00932047"/>
    <w:rsid w:val="00B40AEB"/>
    <w:rsid w:val="00B65812"/>
    <w:rsid w:val="00CC5512"/>
    <w:rsid w:val="00D0617F"/>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אופיר רחבי</FullName>
        <FirstName>אופיר</FirstName>
        <LastName>רחבי</LastName>
        <PartyPropertyName/>
        <AuthenticationTypeAndNumber>מ.ר. 24643</AuthenticationTypeAndNumber>
        <RepresentatedOrRepresentativesNames>אבנר פרחי</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266978152</CasePartyID>
        <PartyTypeID>2</PartyTypeID>
        <ActivityStatusID>1</ActivityStatusID>
        <PartyAliasID>23</PartyAliasID>
        <PartyAliasName>בא כוח משיבים</PartyAliasName>
        <LegalEntityID>387206</LegalEntityID>
        <CaseLegalEntityID>127952248</CaseLegalEntityID>
        <AuthenticationTypeID>4</AuthenticationTypeID>
        <AuthenticationTypeName>מ.ר.</AuthenticationTypeName>
        <LegalEntityNumber>24643</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דרך מנחם בגין 144 תל אביב -יפו </FullAddress>
        <EmailAddress>r-ofir@bezeqint.net</EmailAddress>
        <MotionID>0</MotionID>
        <CasePleaID>0</CasePleaID>
        <LinkedCaseID>0</LinkedCaseID>
        <PartyID>2</PartyID>
        <CasePartyCategoryID>2</CasePartyCategoryID>
        <LegalEntityAddressID>84689303</LegalEntityAddressID>
        <LegalEntityEmailAddressID>67954181</LegalEntityEmailAddressID>
        <PleaTypeID>5</PleaTypeID>
        <LawyerOfficeName>משרד עו"ד: אופיר רחבי</LawyerOfficeName>
        <LawyerOfficeID>427850</LawyerOfficeID>
        <GroupPartyAlias/>
        <IsConverted>false</IsConverted>
        <LegalEntityNameID>8190</LegalEntityNameID>
        <RepresentatedNamesOfAssistant/>
        <LegalEntityTypeID>4</LegalEntityTypeID>
        <IsVerdictExists>false</IsVerdictExists>
        <IsAsirAzir>false</IsAsirAzir>
        <IsPublicationProhibited>false</IsPublicationProhibited>
        <PublicationProhibitedFullName>אופיר רחבי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יוסף פרחי</FullName>
        <FirstName>יוסף</FirstName>
        <LastName>פרחי</LastName>
        <PartyPropertyName/>
        <AuthenticationTypeAndNumber>ת"ז 050520311</AuthenticationTypeAndNumber>
        <RepresentatedOrRepresentativesNames>אמיר רוזנברג</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265157981</CasePartyID>
        <PartyTypeID>1</PartyTypeID>
        <ActivityStatusID>1</ActivityStatusID>
        <PartyAliasID>3</PartyAliasID>
        <PartyAliasName>מבקש</PartyAliasName>
        <OrdinalNumber>1</OrdinalNumber>
        <LegalEntityID>7528536</LegalEntityID>
        <CaseLegalEntityID>127418556</CaseLegalEntityID>
        <AuthenticationTypeID>1</AuthenticationTypeID>
        <AuthenticationTypeName>ת"ז</AuthenticationTypeName>
        <LegalEntityNumber>050520311</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יציאת אירופה 9 חדרה </FullAddress>
        <MotionID>0</MotionID>
        <CasePleaID>0</CasePleaID>
        <FatherName>עמרם</FatherName>
        <LinkedCaseID>0</LinkedCaseID>
        <PartyID>1</PartyID>
        <CasePartyCategoryID>2</CasePartyCategoryID>
        <LegalEntityAddressID>88852265</LegalEntityAddressID>
        <FictitiousPoliceNumber/>
        <PleaTypeID>5</PleaTypeID>
        <GroupPartyAlias>מבקשים</GroupPartyAlias>
        <IsConverted>false</IsConverted>
        <LegalEntityRegisteredNameID>395852</LegalEntityRegisteredNameID>
        <LegalEntityNameID>96018413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פרחי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אמיר רוזנברג</FullName>
        <FirstName>אמיר</FirstName>
        <LastName>רוזנברג</LastName>
        <PartyPropertyName/>
        <AuthenticationTypeAndNumber>מ.ר. 14358</AuthenticationTypeAndNumber>
        <RepresentatedOrRepresentativesNames>יוסף פרחי</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265157982</CasePartyID>
        <PartyTypeID>2</PartyTypeID>
        <ActivityStatusID>1</ActivityStatusID>
        <PartyAliasID>22</PartyAliasID>
        <PartyAliasName>בא כוח מבקשים</PartyAliasName>
        <OrdinalNumber>1</OrdinalNumber>
        <LegalEntityID>384233</LegalEntityID>
        <CaseLegalEntityID>127418557</CaseLegalEntityID>
        <AuthenticationTypeID>4</AuthenticationTypeID>
        <AuthenticationTypeName>מ.ר.</AuthenticationTypeName>
        <LegalEntityNumber>14358</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ז'בוטינסקי 33 רמת גן מגדלי התאומים 1</FullAddress>
        <EmailAddress>Office@roselaw.co.il</EmailAddress>
        <MotionID>0</MotionID>
        <CasePleaID>0</CasePleaID>
        <LinkedCaseID>0</LinkedCaseID>
        <PartyID>1</PartyID>
        <CasePartyCategoryID>2</CasePartyCategoryID>
        <LegalEntityAddressID>427215</LegalEntityAddressID>
        <LegalEntityEmailAddressID>68345695</LegalEntityEmailAddressID>
        <PleaTypeID>5</PleaTypeID>
        <LawyerOfficeName>משרד עו"ד: רוזנברג,פוריס,העצני ושות'</LawyerOfficeName>
        <LawyerOfficeID>424877</LawyerOfficeID>
        <GroupPartyAlias/>
        <IsConverted>false</IsConverted>
        <LegalEntityNameID>5217</LegalEntityNameID>
        <RepresentatedNamesOfAssistant/>
        <LegalEntityTypeID>4</LegalEntityTypeID>
        <IsVerdictExists>false</IsVerdictExists>
        <IsAsirAzir>false</IsAsirAzir>
        <IsPublicationProhibited>false</IsPublicationProhibited>
        <PublicationProhibitedFullName>אמיר רוזנברג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265157983</CasePartyID>
        <PartyTypeID>1</PartyTypeID>
        <ActivityStatusID>1</ActivityStatusID>
        <PartyAliasID>4</PartyAliasID>
        <PartyAliasName>משיב</PartyAliasName>
        <OrdinalNumber>1</OrdinalNumber>
        <LegalEntityID>15841402</LegalEntityID>
        <CaseLegalEntityID>127418558</CaseLegalEntityID>
        <AuthenticationTypeID>13</AuthenticationTypeID>
        <AuthenticationTypeName>משרדי ממשלה</AuthenticationTypeName>
        <LegalEntityNumber>570000605</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בוניה פרחי (המנוח)</FullName>
        <FirstName>בוניה</FirstName>
        <LastName>פרחי</LastName>
        <PartyPropertyID>12</PartyPropertyID>
        <PartyPropertyName/>
        <AuthenticationTypeAndNumber>ת"ז 041537564</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265157984</CasePartyID>
        <PartyTypeID>1</PartyTypeID>
        <ActivityStatusID>1</ActivityStatusID>
        <PartyAliasID>4</PartyAliasID>
        <PartyAliasName>משיב</PartyAliasName>
        <OrdinalNumber>2</OrdinalNumber>
        <LegalEntityID>45285876</LegalEntityID>
        <CaseLegalEntityID>127418559</CaseLegalEntityID>
        <AuthenticationTypeID>1</AuthenticationTypeID>
        <AuthenticationTypeName>ת"ז</AuthenticationTypeName>
        <LegalEntityNumber>041537564</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
        <MotionID>0</MotionID>
        <CasePleaID>0</CasePleaID>
        <FatherName>סלם</FatherName>
        <LinkedCaseID>0</LinkedCaseID>
        <PartyID>2</PartyID>
        <CasePartyCategoryID>2</CasePartyCategoryID>
        <PleaTypeID>5</PleaTypeID>
        <GroupPartyAlias>משיבים</GroupPartyAlias>
        <IsConverted>false</IsConverted>
        <LegalEntityRegisteredNameID>4860361</LegalEntityRegisteredNameID>
        <LegalEntityNameID>96018414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בוניה פרחי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דליה טליה לוי</FullName>
        <FirstName>דליה טליה</FirstName>
        <LastName>לוי</LastName>
        <PartyPropertyName/>
        <AuthenticationTypeAndNumber>ת"ז 059587477</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265157985</CasePartyID>
        <PartyTypeID>1</PartyTypeID>
        <ActivityStatusID>1</ActivityStatusID>
        <PartyAliasID>4</PartyAliasID>
        <PartyAliasName>משיב</PartyAliasName>
        <OrdinalNumber>3</OrdinalNumber>
        <LegalEntityID>12749863</LegalEntityID>
        <CaseLegalEntityID>127418560</CaseLegalEntityID>
        <AuthenticationTypeID>1</AuthenticationTypeID>
        <AuthenticationTypeName>ת"ז</AuthenticationTypeName>
        <LegalEntityNumber>059587477</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הבונים 3 חדרה </FullAddress>
        <MotionID>0</MotionID>
        <CasePleaID>0</CasePleaID>
        <FatherName>עמרן</FatherName>
        <LinkedCaseID>0</LinkedCaseID>
        <PartyID>2</PartyID>
        <CasePartyCategoryID>2</CasePartyCategoryID>
        <LegalEntityAddressID>88852266</LegalEntityAddressID>
        <PleaTypeID>5</PleaTypeID>
        <GroupPartyAlias>משיבים</GroupPartyAlias>
        <IsConverted>false</IsConverted>
        <LegalEntityRegisteredNameID>8215579</LegalEntityRegisteredNameID>
        <LegalEntityNameID>96018415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דליה טליה לוי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אבנר פרחי</FullName>
        <FirstName>אבנר</FirstName>
        <LastName>פרחי</LastName>
        <PartyPropertyName/>
        <AuthenticationTypeAndNumber>ת"ז 053590402</AuthenticationTypeAndNumber>
        <RepresentatedOrRepresentativesNames>אופיר רחבי</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265157986</CasePartyID>
        <PartyTypeID>1</PartyTypeID>
        <ActivityStatusID>1</ActivityStatusID>
        <PartyAliasID>4</PartyAliasID>
        <PartyAliasName>משיב</PartyAliasName>
        <OrdinalNumber>4</OrdinalNumber>
        <LegalEntityID>45285875</LegalEntityID>
        <CaseLegalEntityID>127418561</CaseLegalEntityID>
        <AuthenticationTypeID>1</AuthenticationTypeID>
        <AuthenticationTypeName>ת"ז</AuthenticationTypeName>
        <LegalEntityNumber>053590402</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יציאת אירופה 9 חדרה </FullAddress>
        <MotionID>0</MotionID>
        <CasePleaID>0</CasePleaID>
        <FatherName>עמרן</FatherName>
        <LinkedCaseID>0</LinkedCaseID>
        <PartyID>2</PartyID>
        <CasePartyCategoryID>2</CasePartyCategoryID>
        <LegalEntityAddressID>88852267</LegalEntityAddressID>
        <PleaTypeID>5</PleaTypeID>
        <GroupPartyAlias>משיבים</GroupPartyAlias>
        <IsConverted>false</IsConverted>
        <LegalEntityRegisteredNameID>1995655</LegalEntityRegisteredNameID>
        <LegalEntityNameID>96018416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אבנר פרחי</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יונה פרחי</FullName>
        <FirstName>יונה</FirstName>
        <LastName>פרחי</LastName>
        <PartyPropertyName/>
        <AuthenticationTypeAndNumber>ת"ז 041537580</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265157987</CasePartyID>
        <PartyTypeID>1</PartyTypeID>
        <ActivityStatusID>1</ActivityStatusID>
        <PartyAliasID>4</PartyAliasID>
        <PartyAliasName>משיב</PartyAliasName>
        <OrdinalNumber>5</OrdinalNumber>
        <LegalEntityID>23727500</LegalEntityID>
        <CaseLegalEntityID>127418562</CaseLegalEntityID>
        <AuthenticationTypeID>1</AuthenticationTypeID>
        <AuthenticationTypeName>ת"ז</AuthenticationTypeName>
        <LegalEntityNumber>041537580</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נג'ר יצחק 5 הרצלייה </FullAddress>
        <MotionID>0</MotionID>
        <CasePleaID>0</CasePleaID>
        <FatherName>עמרן</FatherName>
        <LinkedCaseID>0</LinkedCaseID>
        <PartyID>2</PartyID>
        <CasePartyCategoryID>2</CasePartyCategoryID>
        <LegalEntityAddressID>88852268</LegalEntityAddressID>
        <PleaTypeID>5</PleaTypeID>
        <GroupPartyAlias>משיבים</GroupPartyAlias>
        <IsConverted>false</IsConverted>
        <LegalEntityRegisteredNameID>4860364</LegalEntityRegisteredNameID>
        <LegalEntityNameID>96018417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יונה פרחי</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משה צדוק כוחלני</FullName>
        <FirstName>משה</FirstName>
        <LastName>צדוק כוחלני</LastName>
        <PartyPropertyName/>
        <AuthenticationTypeAndNumber>ת"ז 030578025</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265157988</CasePartyID>
        <PartyTypeID>1</PartyTypeID>
        <ActivityStatusID>1</ActivityStatusID>
        <PartyAliasID>4</PartyAliasID>
        <PartyAliasName>משיב</PartyAliasName>
        <OrdinalNumber>6</OrdinalNumber>
        <LegalEntityID>76476213</LegalEntityID>
        <CaseLegalEntityID>127418563</CaseLegalEntityID>
        <AuthenticationTypeID>1</AuthenticationTypeID>
        <AuthenticationTypeName>ת"ז</AuthenticationTypeName>
        <LegalEntityNumber>030578025</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יעקב הכהן 33 רמת השרון באמצעות מר אלדד צדוק</FullAddress>
        <MotionID>0</MotionID>
        <CasePleaID>0</CasePleaID>
        <FatherName>אברהם</FatherName>
        <LinkedCaseID>0</LinkedCaseID>
        <PartyID>2</PartyID>
        <CasePartyCategoryID>2</CasePartyCategoryID>
        <LegalEntityAddressID>88852269</LegalEntityAddressID>
        <PleaTypeID>5</PleaTypeID>
        <GroupPartyAlias>משיבים</GroupPartyAlias>
        <IsConverted>false</IsConverted>
        <LegalEntityRegisteredNameID>6556142</LegalEntityRegisteredNameID>
        <LegalEntityNameID>96018418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צדוק כוחלני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איילת מקרוס</FullName>
        <FirstName>אילת</FirstName>
        <LastName>מקרוס</LastName>
        <PartyPropertyName/>
        <AuthenticationTypeAndNumber>ת"ז 024066086</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265157989</CasePartyID>
        <PartyTypeID>1</PartyTypeID>
        <ActivityStatusID>1</ActivityStatusID>
        <PartyAliasID>4</PartyAliasID>
        <PartyAliasName>משיב</PartyAliasName>
        <OrdinalNumber>7</OrdinalNumber>
        <LegalEntityID>81679163</LegalEntityID>
        <CaseLegalEntityID>127418564</CaseLegalEntityID>
        <AuthenticationTypeID>1</AuthenticationTypeID>
        <AuthenticationTypeName>ת"ז</AuthenticationTypeName>
        <LegalEntityNumber>024066086</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עין חנוך 5/21 גני תקווה </FullAddress>
        <MotionID>0</MotionID>
        <CasePleaID>0</CasePleaID>
        <FatherName>משה</FatherName>
        <LinkedCaseID>0</LinkedCaseID>
        <PartyID>2</PartyID>
        <CasePartyCategoryID>2</CasePartyCategoryID>
        <LegalEntityAddressID>88852270</LegalEntityAddressID>
        <PleaTypeID>5</PleaTypeID>
        <GroupPartyAlias>משיבים</GroupPartyAlias>
        <IsConverted>false</IsConverted>
        <LegalEntityRegisteredNameID>10624799</LegalEntityRegisteredNameID>
        <LegalEntityNameID>96018419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איילת מקרוס</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דפנה מעודד</FullName>
        <FirstName>דפנה</FirstName>
        <LastName>מעודד</LastName>
        <PartyPropertyName/>
        <AuthenticationTypeAndNumber>ת"ז 028774354</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265157990</CasePartyID>
        <PartyTypeID>1</PartyTypeID>
        <ActivityStatusID>1</ActivityStatusID>
        <PartyAliasID>4</PartyAliasID>
        <PartyAliasName>משיב</PartyAliasName>
        <OrdinalNumber>8</OrdinalNumber>
        <LegalEntityID>81679164</LegalEntityID>
        <CaseLegalEntityID>127418565</CaseLegalEntityID>
        <AuthenticationTypeID>1</AuthenticationTypeID>
        <AuthenticationTypeName>ת"ז</AuthenticationTypeName>
        <LegalEntityNumber>028774354</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רבי יוסי בן קיסמא 24/6 אלעד </FullAddress>
        <MotionID>0</MotionID>
        <CasePleaID>0</CasePleaID>
        <FatherName>משה</FatherName>
        <LinkedCaseID>0</LinkedCaseID>
        <PartyID>2</PartyID>
        <CasePartyCategoryID>2</CasePartyCategoryID>
        <LegalEntityAddressID>88852271</LegalEntityAddressID>
        <PleaTypeID>5</PleaTypeID>
        <GroupPartyAlias>משיבים</GroupPartyAlias>
        <IsConverted>false</IsConverted>
        <LegalEntityRegisteredNameID>10624800</LegalEntityRegisteredNameID>
        <LegalEntityNameID>96018420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דפנה מעודד</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אלדד צדוק</FullName>
        <FirstName>אלדד</FirstName>
        <LastName>צדוק</LastName>
        <PartyPropertyName/>
        <AuthenticationTypeAndNumber>ת"ז 034899468</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265157991</CasePartyID>
        <PartyTypeID>1</PartyTypeID>
        <ActivityStatusID>1</ActivityStatusID>
        <PartyAliasID>4</PartyAliasID>
        <PartyAliasName>משיב</PartyAliasName>
        <OrdinalNumber>9</OrdinalNumber>
        <LegalEntityID>81679165</LegalEntityID>
        <CaseLegalEntityID>127418566</CaseLegalEntityID>
        <AuthenticationTypeID>1</AuthenticationTypeID>
        <AuthenticationTypeName>ת"ז</AuthenticationTypeName>
        <LegalEntityNumber>034899468</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יעקב כהן 33 רמת השרון </FullAddress>
        <MotionID>0</MotionID>
        <CasePleaID>0</CasePleaID>
        <FatherName>משה</FatherName>
        <LinkedCaseID>0</LinkedCaseID>
        <PartyID>2</PartyID>
        <CasePartyCategoryID>2</CasePartyCategoryID>
        <LegalEntityAddressID>88852272</LegalEntityAddressID>
        <PleaTypeID>5</PleaTypeID>
        <GroupPartyAlias>משיבים</GroupPartyAlias>
        <IsConverted>false</IsConverted>
        <LegalEntityRegisteredNameID>10624801</LegalEntityRegisteredNameID>
        <LegalEntityNameID>96018421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אלדד צדוק</PublicationProhibitedFullName>
      </CaseParties>
    </CasePartiesSelectionDS>
    <DecisionName>פסק דין  שניתנה ע"י  טל פפרני</DecisionName>
    <CourtDisplayName>בית משפט לענייני משפחה בחיפה</CourtDisplayName>
    <IsCaseJudgePanel>false</IsCaseJudgePanel>
    <DecisionSignatureDate>2024-04-07T13:13:50.445968+03:00</DecisionSignatureDate>
    <OpenCaseDate>2024-01-18T07:00:00+02:00</OpenCaseDate>
    <CaseFeeSum>0.000</CaseFeeSum>
    <ExternalCaseNumber>46516_4</ExternalCaseNumber>
    <DecisionTypeID>2</DecisionTypeID>
    <DecisionSignatureUserName>טל פפרני</DecisionSignatureUserName>
    <DecisionSignatureDateHebrew>2024-04-07T13:13:50.445968+03:00</DecisionSignatureDateHebrew>
    <DecisionWriterID>023095623@GOV.IL</DecisionWriterID>
    <CourtAddress>רח' פלי"ם 12 היכל המשפט, חיפה 33095</CourtAddress>
    <IsAutoTextInCaseExist>true</IsAutoTextInCaseExist>
    <DecisionSignatureRoleName>שופט</DecisionSignatureRoleName>
    <DecisionSignatureUserTitleName>שופט, סגן הנשיאה</DecisionSignatureUserTitleName>
    <InMatterOfDescription>המנוח</InMatterOfDescription>
    <CaseName>פרחי נ' האפוטרופוס הכללי מחוז חיפה והצפון ואח'</CaseName>
    <DecisionNumberInCase>11</DecisionNumberInCase>
  </dt_Decision>
  <dt_DecisionCase>
    <DecisionID>0</DecisionID>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אופיר רחבי</FullName>
        <FirstName>אופיר</FirstName>
        <LastName>רחבי</LastName>
        <PartyPropertyName/>
        <AuthenticationTypeAndNumber>מ.ר. 24643</AuthenticationTypeAndNumber>
        <RepresentatedOrRepresentativesNames>אבנר פרחי</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266978152</CasePartyID>
        <PartyTypeID>2</PartyTypeID>
        <ActivityStatusID>1</ActivityStatusID>
        <PartyAliasID>23</PartyAliasID>
        <PartyAliasName>בא כוח משיבים</PartyAliasName>
        <LegalEntityID>387206</LegalEntityID>
        <CaseLegalEntityID>127952248</CaseLegalEntityID>
        <AuthenticationTypeID>4</AuthenticationTypeID>
        <AuthenticationTypeName>מ.ר.</AuthenticationTypeName>
        <LegalEntityNumber>24643</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דרך מנחם בגין 144 תל אביב -יפו </FullAddress>
        <EmailAddress>r-ofir@bezeqint.net</EmailAddress>
        <MotionID>0</MotionID>
        <CasePleaID>0</CasePleaID>
        <LinkedCaseID>0</LinkedCaseID>
        <PartyID>2</PartyID>
        <CasePartyCategoryID>2</CasePartyCategoryID>
        <LegalEntityAddressID>84689303</LegalEntityAddressID>
        <LegalEntityEmailAddressID>67954181</LegalEntityEmailAddressID>
        <PleaTypeID>5</PleaTypeID>
        <LawyerOfficeName>משרד עו"ד: אופיר רחבי</LawyerOfficeName>
        <LawyerOfficeID>427850</LawyerOfficeID>
        <GroupPartyAlias/>
        <IsConverted>false</IsConverted>
        <LegalEntityNameID>8190</LegalEntityNameID>
        <RepresentatedNamesOfAssistant/>
        <LegalEntityTypeID>4</LegalEntityTypeID>
        <IsVerdictExists>false</IsVerdictExists>
        <IsAsirAzir>false</IsAsirAzir>
        <IsPublicationProhibited>false</IsPublicationProhibited>
        <PublicationProhibitedFullName>אופיר רחבי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יוסף פרחי</FullName>
        <FirstName>יוסף</FirstName>
        <LastName>פרחי</LastName>
        <PartyPropertyName/>
        <AuthenticationTypeAndNumber>ת"ז 050520311</AuthenticationTypeAndNumber>
        <RepresentatedOrRepresentativesNames>אמיר רוזנברג</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265157981</CasePartyID>
        <PartyTypeID>1</PartyTypeID>
        <ActivityStatusID>1</ActivityStatusID>
        <PartyAliasID>3</PartyAliasID>
        <PartyAliasName>מבקש</PartyAliasName>
        <OrdinalNumber>1</OrdinalNumber>
        <LegalEntityID>7528536</LegalEntityID>
        <CaseLegalEntityID>127418556</CaseLegalEntityID>
        <AuthenticationTypeID>1</AuthenticationTypeID>
        <AuthenticationTypeName>ת"ז</AuthenticationTypeName>
        <LegalEntityNumber>050520311</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יציאת אירופה 9 חדרה </FullAddress>
        <MotionID>0</MotionID>
        <CasePleaID>0</CasePleaID>
        <FatherName>עמרם</FatherName>
        <LinkedCaseID>0</LinkedCaseID>
        <PartyID>1</PartyID>
        <CasePartyCategoryID>2</CasePartyCategoryID>
        <LegalEntityAddressID>88852265</LegalEntityAddressID>
        <FictitiousPoliceNumber/>
        <PleaTypeID>5</PleaTypeID>
        <GroupPartyAlias>מבקשים</GroupPartyAlias>
        <IsConverted>false</IsConverted>
        <LegalEntityRegisteredNameID>395852</LegalEntityRegisteredNameID>
        <LegalEntityNameID>96018413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פרחי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אמיר רוזנברג</FullName>
        <FirstName>אמיר</FirstName>
        <LastName>רוזנברג</LastName>
        <PartyPropertyName/>
        <AuthenticationTypeAndNumber>מ.ר. 14358</AuthenticationTypeAndNumber>
        <RepresentatedOrRepresentativesNames>יוסף פרחי</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265157982</CasePartyID>
        <PartyTypeID>2</PartyTypeID>
        <ActivityStatusID>1</ActivityStatusID>
        <PartyAliasID>22</PartyAliasID>
        <PartyAliasName>בא כוח מבקשים</PartyAliasName>
        <OrdinalNumber>1</OrdinalNumber>
        <LegalEntityID>384233</LegalEntityID>
        <CaseLegalEntityID>127418557</CaseLegalEntityID>
        <AuthenticationTypeID>4</AuthenticationTypeID>
        <AuthenticationTypeName>מ.ר.</AuthenticationTypeName>
        <LegalEntityNumber>14358</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ז'בוטינסקי 33 רמת גן מגדלי התאומים 1</FullAddress>
        <EmailAddress>Office@roselaw.co.il</EmailAddress>
        <MotionID>0</MotionID>
        <CasePleaID>0</CasePleaID>
        <LinkedCaseID>0</LinkedCaseID>
        <PartyID>1</PartyID>
        <CasePartyCategoryID>2</CasePartyCategoryID>
        <LegalEntityAddressID>427215</LegalEntityAddressID>
        <LegalEntityEmailAddressID>68345695</LegalEntityEmailAddressID>
        <PleaTypeID>5</PleaTypeID>
        <LawyerOfficeName>משרד עו"ד: רוזנברג,פוריס,העצני ושות'</LawyerOfficeName>
        <LawyerOfficeID>424877</LawyerOfficeID>
        <GroupPartyAlias/>
        <IsConverted>false</IsConverted>
        <LegalEntityNameID>5217</LegalEntityNameID>
        <RepresentatedNamesOfAssistant/>
        <LegalEntityTypeID>4</LegalEntityTypeID>
        <IsVerdictExists>false</IsVerdictExists>
        <IsAsirAzir>false</IsAsirAzir>
        <IsPublicationProhibited>false</IsPublicationProhibited>
        <PublicationProhibitedFullName>אמיר רוזנברג</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265157983</CasePartyID>
        <PartyTypeID>1</PartyTypeID>
        <ActivityStatusID>1</ActivityStatusID>
        <PartyAliasID>4</PartyAliasID>
        <PartyAliasName>משיב</PartyAliasName>
        <OrdinalNumber>1</OrdinalNumber>
        <LegalEntityID>15841402</LegalEntityID>
        <CaseLegalEntityID>127418558</CaseLegalEntityID>
        <AuthenticationTypeID>13</AuthenticationTypeID>
        <AuthenticationTypeName>משרדי ממשלה</AuthenticationTypeName>
        <LegalEntityNumber>570000605</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בוניה פרחי (המנוח)</FullName>
        <FirstName>בוניה</FirstName>
        <LastName>פרחי</LastName>
        <PartyPropertyID>12</PartyPropertyID>
        <PartyPropertyName/>
        <AuthenticationTypeAndNumber>ת"ז 041537564</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265157984</CasePartyID>
        <PartyTypeID>1</PartyTypeID>
        <ActivityStatusID>1</ActivityStatusID>
        <PartyAliasID>4</PartyAliasID>
        <PartyAliasName>משיב</PartyAliasName>
        <OrdinalNumber>2</OrdinalNumber>
        <LegalEntityID>45285876</LegalEntityID>
        <CaseLegalEntityID>127418559</CaseLegalEntityID>
        <AuthenticationTypeID>1</AuthenticationTypeID>
        <AuthenticationTypeName>ת"ז</AuthenticationTypeName>
        <LegalEntityNumber>041537564</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
        <MotionID>0</MotionID>
        <CasePleaID>0</CasePleaID>
        <FatherName>סלם</FatherName>
        <LinkedCaseID>0</LinkedCaseID>
        <PartyID>2</PartyID>
        <CasePartyCategoryID>2</CasePartyCategoryID>
        <PleaTypeID>5</PleaTypeID>
        <GroupPartyAlias>משיבים</GroupPartyAlias>
        <IsConverted>false</IsConverted>
        <LegalEntityRegisteredNameID>4860361</LegalEntityRegisteredNameID>
        <LegalEntityNameID>96018414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בוניה פרחי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דליה טליה לוי</FullName>
        <FirstName>דליה טליה</FirstName>
        <LastName>לוי</LastName>
        <PartyPropertyName/>
        <AuthenticationTypeAndNumber>ת"ז 059587477</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265157985</CasePartyID>
        <PartyTypeID>1</PartyTypeID>
        <ActivityStatusID>1</ActivityStatusID>
        <PartyAliasID>4</PartyAliasID>
        <PartyAliasName>משיב</PartyAliasName>
        <OrdinalNumber>3</OrdinalNumber>
        <LegalEntityID>12749863</LegalEntityID>
        <CaseLegalEntityID>127418560</CaseLegalEntityID>
        <AuthenticationTypeID>1</AuthenticationTypeID>
        <AuthenticationTypeName>ת"ז</AuthenticationTypeName>
        <LegalEntityNumber>059587477</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הבונים 3 חדרה </FullAddress>
        <MotionID>0</MotionID>
        <CasePleaID>0</CasePleaID>
        <FatherName>עמרן</FatherName>
        <LinkedCaseID>0</LinkedCaseID>
        <PartyID>2</PartyID>
        <CasePartyCategoryID>2</CasePartyCategoryID>
        <LegalEntityAddressID>88852266</LegalEntityAddressID>
        <PleaTypeID>5</PleaTypeID>
        <GroupPartyAlias>משיבים</GroupPartyAlias>
        <IsConverted>false</IsConverted>
        <LegalEntityRegisteredNameID>8215579</LegalEntityRegisteredNameID>
        <LegalEntityNameID>96018415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דליה טליה לוי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אבנר פרחי</FullName>
        <FirstName>אבנר</FirstName>
        <LastName>פרחי</LastName>
        <PartyPropertyName/>
        <AuthenticationTypeAndNumber>ת"ז 053590402</AuthenticationTypeAndNumber>
        <RepresentatedOrRepresentativesNames>אופיר רחבי</RepresentatedOrRepresentativesNames>
        <RepresentatedOrRepresentativesCount>1</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265157986</CasePartyID>
        <PartyTypeID>1</PartyTypeID>
        <ActivityStatusID>1</ActivityStatusID>
        <PartyAliasID>4</PartyAliasID>
        <PartyAliasName>משיב</PartyAliasName>
        <OrdinalNumber>4</OrdinalNumber>
        <LegalEntityID>45285875</LegalEntityID>
        <CaseLegalEntityID>127418561</CaseLegalEntityID>
        <AuthenticationTypeID>1</AuthenticationTypeID>
        <AuthenticationTypeName>ת"ז</AuthenticationTypeName>
        <LegalEntityNumber>053590402</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יציאת אירופה 9 חדרה </FullAddress>
        <MotionID>0</MotionID>
        <CasePleaID>0</CasePleaID>
        <FatherName>עמרן</FatherName>
        <LinkedCaseID>0</LinkedCaseID>
        <PartyID>2</PartyID>
        <CasePartyCategoryID>2</CasePartyCategoryID>
        <LegalEntityAddressID>88852267</LegalEntityAddressID>
        <PleaTypeID>5</PleaTypeID>
        <GroupPartyAlias>משיבים</GroupPartyAlias>
        <IsConverted>false</IsConverted>
        <LegalEntityRegisteredNameID>1995655</LegalEntityRegisteredNameID>
        <LegalEntityNameID>96018416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אבנר פרחי</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יונה פרחי</FullName>
        <FirstName>יונה</FirstName>
        <LastName>פרחי</LastName>
        <PartyPropertyName/>
        <AuthenticationTypeAndNumber>ת"ז 041537580</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265157987</CasePartyID>
        <PartyTypeID>1</PartyTypeID>
        <ActivityStatusID>1</ActivityStatusID>
        <PartyAliasID>4</PartyAliasID>
        <PartyAliasName>משיב</PartyAliasName>
        <OrdinalNumber>5</OrdinalNumber>
        <LegalEntityID>23727500</LegalEntityID>
        <CaseLegalEntityID>127418562</CaseLegalEntityID>
        <AuthenticationTypeID>1</AuthenticationTypeID>
        <AuthenticationTypeName>ת"ז</AuthenticationTypeName>
        <LegalEntityNumber>041537580</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נג'ר יצחק 5 הרצלייה </FullAddress>
        <MotionID>0</MotionID>
        <CasePleaID>0</CasePleaID>
        <FatherName>עמרן</FatherName>
        <LinkedCaseID>0</LinkedCaseID>
        <PartyID>2</PartyID>
        <CasePartyCategoryID>2</CasePartyCategoryID>
        <LegalEntityAddressID>88852268</LegalEntityAddressID>
        <PleaTypeID>5</PleaTypeID>
        <GroupPartyAlias>משיבים</GroupPartyAlias>
        <IsConverted>false</IsConverted>
        <LegalEntityRegisteredNameID>4860364</LegalEntityRegisteredNameID>
        <LegalEntityNameID>96018417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יונה פרחי</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משה צדוק כוחלני</FullName>
        <FirstName>משה</FirstName>
        <LastName>צדוק כוחלני</LastName>
        <PartyPropertyName/>
        <AuthenticationTypeAndNumber>ת"ז 030578025</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265157988</CasePartyID>
        <PartyTypeID>1</PartyTypeID>
        <ActivityStatusID>1</ActivityStatusID>
        <PartyAliasID>4</PartyAliasID>
        <PartyAliasName>משיב</PartyAliasName>
        <OrdinalNumber>6</OrdinalNumber>
        <LegalEntityID>76476213</LegalEntityID>
        <CaseLegalEntityID>127418563</CaseLegalEntityID>
        <AuthenticationTypeID>1</AuthenticationTypeID>
        <AuthenticationTypeName>ת"ז</AuthenticationTypeName>
        <LegalEntityNumber>030578025</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יעקב הכהן 33 רמת השרון באמצעות מר אלדד צדוק</FullAddress>
        <MotionID>0</MotionID>
        <CasePleaID>0</CasePleaID>
        <FatherName>אברהם</FatherName>
        <LinkedCaseID>0</LinkedCaseID>
        <PartyID>2</PartyID>
        <CasePartyCategoryID>2</CasePartyCategoryID>
        <LegalEntityAddressID>88852269</LegalEntityAddressID>
        <PleaTypeID>5</PleaTypeID>
        <GroupPartyAlias>משיבים</GroupPartyAlias>
        <IsConverted>false</IsConverted>
        <LegalEntityRegisteredNameID>6556142</LegalEntityRegisteredNameID>
        <LegalEntityNameID>96018418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צדוק כוחלני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איילת מקרוס</FullName>
        <FirstName>אילת</FirstName>
        <LastName>מקרוס</LastName>
        <PartyPropertyName/>
        <AuthenticationTypeAndNumber>ת"ז 024066086</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265157989</CasePartyID>
        <PartyTypeID>1</PartyTypeID>
        <ActivityStatusID>1</ActivityStatusID>
        <PartyAliasID>4</PartyAliasID>
        <PartyAliasName>משיב</PartyAliasName>
        <OrdinalNumber>7</OrdinalNumber>
        <LegalEntityID>81679163</LegalEntityID>
        <CaseLegalEntityID>127418564</CaseLegalEntityID>
        <AuthenticationTypeID>1</AuthenticationTypeID>
        <AuthenticationTypeName>ת"ז</AuthenticationTypeName>
        <LegalEntityNumber>024066086</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עין חנוך 5/21 גני תקווה </FullAddress>
        <MotionID>0</MotionID>
        <CasePleaID>0</CasePleaID>
        <FatherName>משה</FatherName>
        <LinkedCaseID>0</LinkedCaseID>
        <PartyID>2</PartyID>
        <CasePartyCategoryID>2</CasePartyCategoryID>
        <LegalEntityAddressID>88852270</LegalEntityAddressID>
        <PleaTypeID>5</PleaTypeID>
        <GroupPartyAlias>משיבים</GroupPartyAlias>
        <IsConverted>false</IsConverted>
        <LegalEntityRegisteredNameID>10624799</LegalEntityRegisteredNameID>
        <LegalEntityNameID>96018419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איילת מקרוס</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דפנה מעודד</FullName>
        <FirstName>דפנה</FirstName>
        <LastName>מעודד</LastName>
        <PartyPropertyName/>
        <AuthenticationTypeAndNumber>ת"ז 028774354</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265157990</CasePartyID>
        <PartyTypeID>1</PartyTypeID>
        <ActivityStatusID>1</ActivityStatusID>
        <PartyAliasID>4</PartyAliasID>
        <PartyAliasName>משיב</PartyAliasName>
        <OrdinalNumber>8</OrdinalNumber>
        <LegalEntityID>81679164</LegalEntityID>
        <CaseLegalEntityID>127418565</CaseLegalEntityID>
        <AuthenticationTypeID>1</AuthenticationTypeID>
        <AuthenticationTypeName>ת"ז</AuthenticationTypeName>
        <LegalEntityNumber>028774354</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רבי יוסי בן קיסמא 24/6 אלעד </FullAddress>
        <MotionID>0</MotionID>
        <CasePleaID>0</CasePleaID>
        <FatherName>משה</FatherName>
        <LinkedCaseID>0</LinkedCaseID>
        <PartyID>2</PartyID>
        <CasePartyCategoryID>2</CasePartyCategoryID>
        <LegalEntityAddressID>88852271</LegalEntityAddressID>
        <PleaTypeID>5</PleaTypeID>
        <GroupPartyAlias>משיבים</GroupPartyAlias>
        <IsConverted>false</IsConverted>
        <LegalEntityRegisteredNameID>10624800</LegalEntityRegisteredNameID>
        <LegalEntityNameID>96018420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דפנה מעודד</PublicationProhibitedFullName>
      </CaseParties>
      <CaseParties>
        <PartyTypeName>צד</PartyTypeName>
        <ProceedingType>כתב טענות עיקרי</ProceedingType>
        <PleaName>כתב בקשה</PleaName>
        <PartyBelonging>צד ב'</PartyBelonging>
        <RoleName>משיב 9</RoleName>
        <IsSubProceeding>FALSE</IsSubProceeding>
        <FullName>אלדד צדוק</FullName>
        <FirstName>אלדד</FirstName>
        <LastName>צדוק</LastName>
        <PartyPropertyName/>
        <AuthenticationTypeAndNumber>ת"ז 034899468</AuthenticationTypeAndNumber>
        <RepresentatedOrRepresentativesNames/>
        <RepresentatedOrRepresentativesCount>0</RepresentatedOrRepresentativesCount>
        <InvitedBy/>
        <CaseID>80919648</CaseID>
        <CaseJudicialPersonPresentationDS>
          <CaseJudicalPersonActive>
            <CaseID>80919648</CaseID>
            <JudicialPersonID>023095623@GOV.IL</JudicialPersonID>
            <JudicialPersonTypeID>1</JudicialPersonTypeID>
            <JudicialTypeID>1</JudicialTypeID>
            <IsChairman>false</IsChairman>
            <TreatmentStartDate>2024-01-28T11:09:53.287+02:00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265157991</CasePartyID>
        <PartyTypeID>1</PartyTypeID>
        <ActivityStatusID>1</ActivityStatusID>
        <PartyAliasID>4</PartyAliasID>
        <PartyAliasName>משיב</PartyAliasName>
        <OrdinalNumber>9</OrdinalNumber>
        <LegalEntityID>81679165</LegalEntityID>
        <CaseLegalEntityID>127418566</CaseLegalEntityID>
        <AuthenticationTypeID>1</AuthenticationTypeID>
        <AuthenticationTypeName>ת"ז</AuthenticationTypeName>
        <LegalEntityNumber>034899468</LegalEntityNumber>
        <IsMainPartyType>true</IsMainPartyType>
        <CaseDisplayIdentifier>42215-01-24</CaseDisplayIdentifier>
        <CaseTypeID>86</CaseTypeID>
        <CaseTypeName>תיק עזבונות (ת"ע)</CaseTypeName>
        <CaseName>פרחי נ' האפוטרופוס הכללי מחוז חיפה והצפון ואח'</CaseName>
        <FullAddress>יעקב כהן 33 רמת השרון </FullAddress>
        <MotionID>0</MotionID>
        <CasePleaID>0</CasePleaID>
        <FatherName>משה</FatherName>
        <LinkedCaseID>0</LinkedCaseID>
        <PartyID>2</PartyID>
        <CasePartyCategoryID>2</CasePartyCategoryID>
        <LegalEntityAddressID>88852272</LegalEntityAddressID>
        <PleaTypeID>5</PleaTypeID>
        <GroupPartyAlias>משיבים</GroupPartyAlias>
        <IsConverted>false</IsConverted>
        <LegalEntityRegisteredNameID>10624801</LegalEntityRegisteredNameID>
        <LegalEntityNameID>96018421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אלדד צדוק</PublicationProhibitedFullName>
      </CaseParties>
    </CasePartiesSelectionDS>
    <CaseName>פרחי נ' האפוטרופוס הכללי מחוז חיפה והצפון ואח'</CaseName>
    <CaseDisplayIdentifier>42215-01-24</CaseDisplayIdentifier>
    <CaseInterestID>10298</CaseInterestID>
    <CaseTypeShortName>ת"ע</CaseTypeShortName>
  </dt_DecisionCase>
  <dt_DecisionJudgePanel>
    <JudgeID>023095623@GOV.IL</JudgeID>
    <DisplayName>טל פפרני</DisplayName>
    <RoleName>שופט</RoleName>
    <UserTitleName>שופט, סגן הנשיאה</UserTitleName>
  </dt_DecisionJudgePanel>
  <dt_LegalEntityDetails>
    <Fax>03-6917040</Fax>
    <Phone>03-6919090</Phone>
    <PartyID>2</PartyID>
    <PartyTypeID>2</PartyTypeID>
    <DecisionID>0</DecisionID>
    <StreetName>דרך מנחם בגין 144</StreetName>
    <ZipCode>6492102</ZipCode>
    <CityName>תל אביב -יפו</CityName>
    <FullName>אופיר רחבי</FullName>
    <Email>r-ofir@bezeqint.net</Email>
    <IsPublicationProhibited>false</IsPublicationProhibited>
  </dt_LegalEntityDetails>
  <dt_LegalEntityDetails>
    <PartyID>1</PartyID>
    <PartyTypeID>1</PartyTypeID>
    <DecisionID>0</DecisionID>
    <StreetName>יציאת אירופה 9</StreetName>
    <ZipCode>38484</ZipCode>
    <CityName>חדרה</CityName>
    <FullName>יוסף פרחי</FullName>
    <Email>yossip10@012.net.il</Email>
    <IsPublicationProhibited>false</IsPublicationProhibited>
  </dt_LegalEntityDetails>
  <dt_LegalEntityDetails>
    <Fax>03-5755577</Fax>
    <Phone>03-5750750</Phone>
    <AddressDesc>מגדלי התאומים 1</AddressDesc>
    <PartyID>1</PartyID>
    <PartyTypeID>2</PartyTypeID>
    <DecisionID>0</DecisionID>
    <StreetName>ז'בוטינסקי 33</StreetName>
    <ZipCode>52511</ZipCode>
    <CityName>רמת גן</CityName>
    <FullName>אמיר רוזנברג</FullName>
    <Email>Office@roselaw.co.il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בוניה פרחי</FullName>
    <IsPublicationProhibited>false</IsPublicationProhibited>
  </dt_LegalEntityDetails>
  <dt_LegalEntityDetails>
    <PartyID>2</PartyID>
    <PartyTypeID>1</PartyTypeID>
    <DecisionID>0</DecisionID>
    <StreetName>הבונים 3</StreetName>
    <CityName>חדרה</CityName>
    <FullName>דליה טליה לוי </FullName>
    <IsPublicationProhibited>false</IsPublicationProhibited>
  </dt_LegalEntityDetails>
  <dt_LegalEntityDetails>
    <PartyID>2</PartyID>
    <PartyTypeID>1</PartyTypeID>
    <DecisionID>0</DecisionID>
    <StreetName>יציאת אירופה 9</StreetName>
    <CityName>חדרה</CityName>
    <FullName>אבנר פרחי</FullName>
    <IsPublicationProhibited>false</IsPublicationProhibited>
  </dt_LegalEntityDetails>
  <dt_LegalEntityDetails>
    <PartyID>2</PartyID>
    <PartyTypeID>1</PartyTypeID>
    <DecisionID>0</DecisionID>
    <StreetName>נג'ר יצחק 5</StreetName>
    <CityName>הרצלייה</CityName>
    <FullName>יונה פרחי</FullName>
    <IsPublicationProhibited>false</IsPublicationProhibited>
  </dt_LegalEntityDetails>
  <dt_LegalEntityDetails>
    <AddressDesc>באמצעות מר אלדד צדוק </AddressDesc>
    <PartyID>2</PartyID>
    <PartyTypeID>1</PartyTypeID>
    <DecisionID>0</DecisionID>
    <StreetName>יעקב הכהן 33</StreetName>
    <CityName>רמת השרון</CityName>
    <FullName>משה צדוק כוחלני</FullName>
    <IsPublicationProhibited>false</IsPublicationProhibited>
  </dt_LegalEntityDetails>
  <dt_LegalEntityDetails>
    <PartyID>2</PartyID>
    <PartyTypeID>1</PartyTypeID>
    <DecisionID>0</DecisionID>
    <StreetName>עין חנוך 5/21</StreetName>
    <CityName>גני תקווה</CityName>
    <FullName>איילת מקרוס </FullName>
    <IsPublicationProhibited>false</IsPublicationProhibited>
  </dt_LegalEntityDetails>
  <dt_LegalEntityDetails>
    <PartyID>2</PartyID>
    <PartyTypeID>1</PartyTypeID>
    <DecisionID>0</DecisionID>
    <StreetName>רבי יוסי בן קיסמא 24/6</StreetName>
    <CityName>אלעד</CityName>
    <FullName>דפנה מעודד </FullName>
    <IsPublicationProhibited>false</IsPublicationProhibited>
  </dt_LegalEntityDetails>
  <dt_LegalEntityDetails>
    <PartyID>2</PartyID>
    <PartyTypeID>1</PartyTypeID>
    <DecisionID>0</DecisionID>
    <StreetName>יעקב כהן 33</StreetName>
    <CityName>רמת השרון</CityName>
    <FullName>אלדד צדוק </FullName>
    <IsPublicationProhibited>false</IsPublicationProhibited>
  </dt_LegalEntityDetails>
  <dt_CaseJudicalPersonActive>
    <CaseJudicalPerson>שופט, סגן הנשיאה טל פפרני</CaseJudicalPerson>
  </dt_CaseJudicalPersonActive>
  <dt_Sitting>
    <FutureSittingDate>2024-10-30T10:00:00+02:00</FutureSittingDate>
    <NextSittingTypeID>1</NextSittingTypeID>
    <NextMeetingDisplayName>שופט, סגן הנשיאה טל פפרני</NextMeetingDisplayName>
    <NextMeetingRoleName>שופט</NextMeetingRoleName>
    <NextMeetingUserTitleName>שופט, סגן הנשיאה</NextMeetingUserTitleName>
    <NextMeetingUserUPN>023095623@GOV.IL</NextMeetingUserUPN>
  </dt_Sitting>
  <dt_InMatterOfCase>
    <InMatterOfCaseID>138388</InMatterOfCaseID>
    <AuthenticationTypeID>1</AuthenticationTypeID>
    <AuthenticationNumber>041537564</AuthenticationNumber>
    <FirstName>יוסף</FirstName>
    <LastName>פרחי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D70C-9C65-40BB-B532-6C3162708B96}">
  <ds:schemaRefs/>
</ds:datastoreItem>
</file>

<file path=customXml/itemProps2.xml><?xml version="1.0" encoding="utf-8"?>
<ds:datastoreItem xmlns:ds="http://schemas.openxmlformats.org/officeDocument/2006/customXml" ds:itemID="{AAFA2A9E-AED4-469F-8D30-92057B11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3369</Words>
  <Characters>16846</Characters>
  <Application>Microsoft Office Word</Application>
  <DocSecurity>0</DocSecurity>
  <Lines>140</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2024-07-30T11:57:00Z</dcterms:created>
  <dcterms:modified xsi:type="dcterms:W3CDTF">2024-07-30T11:57:00Z</dcterms:modified>
</cp:coreProperties>
</file>